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 xml:space="preserve">Breath in and </w:t>
      </w:r>
      <w:proofErr w:type="gramStart"/>
      <w:r w:rsidRPr="001D0754">
        <w:rPr>
          <w:rFonts w:cstheme="minorHAnsi"/>
          <w:i/>
          <w:iCs/>
          <w:lang w:val="en-US"/>
        </w:rPr>
        <w:t>out</w:t>
      </w:r>
      <w:r>
        <w:rPr>
          <w:rFonts w:cstheme="minorHAnsi"/>
          <w:i/>
          <w:iCs/>
          <w:lang w:val="en-US"/>
        </w:rPr>
        <w:t>,</w:t>
      </w:r>
      <w:r w:rsidRPr="001D0754">
        <w:rPr>
          <w:rFonts w:cstheme="minorHAnsi"/>
          <w:i/>
          <w:iCs/>
          <w:lang w:val="en-US"/>
        </w:rPr>
        <w:t xml:space="preserve"> and</w:t>
      </w:r>
      <w:proofErr w:type="gramEnd"/>
      <w:r w:rsidRPr="001D0754">
        <w:rPr>
          <w:rFonts w:cstheme="minorHAnsi"/>
          <w:i/>
          <w:iCs/>
          <w:lang w:val="en-US"/>
        </w:rPr>
        <w:t xml:space="preserve">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eGrid"/>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4EEC7B38" w:rsidR="00C32E34" w:rsidRPr="009D1F3B" w:rsidRDefault="00693974" w:rsidP="009657B8">
            <w:pPr>
              <w:rPr>
                <w:rFonts w:cstheme="minorHAnsi"/>
                <w:color w:val="000000" w:themeColor="text1"/>
                <w:lang w:val="en-US"/>
              </w:rPr>
            </w:pPr>
            <w:r w:rsidRPr="00693974">
              <w:rPr>
                <w:rFonts w:cstheme="minorHAnsi"/>
                <w:color w:val="000000" w:themeColor="text1"/>
                <w:lang w:val="en-US"/>
              </w:rPr>
              <w:t>Food value chain</w:t>
            </w:r>
          </w:p>
        </w:tc>
        <w:tc>
          <w:tcPr>
            <w:tcW w:w="4449" w:type="dxa"/>
          </w:tcPr>
          <w:p w14:paraId="0BC73C5D" w14:textId="661D8965" w:rsidR="00C32E34" w:rsidRPr="009D1F3B" w:rsidRDefault="00693974" w:rsidP="009657B8">
            <w:pPr>
              <w:rPr>
                <w:rFonts w:cstheme="minorHAnsi"/>
                <w:color w:val="000000" w:themeColor="text1"/>
                <w:lang w:val="en-US"/>
              </w:rPr>
            </w:pPr>
            <w:proofErr w:type="spellStart"/>
            <w:r w:rsidRPr="00693974">
              <w:rPr>
                <w:rFonts w:cstheme="minorHAnsi"/>
                <w:color w:val="000000" w:themeColor="text1"/>
                <w:lang w:val="en-US"/>
              </w:rPr>
              <w:t>Chaîne</w:t>
            </w:r>
            <w:proofErr w:type="spellEnd"/>
            <w:r w:rsidRPr="00693974">
              <w:rPr>
                <w:rFonts w:cstheme="minorHAnsi"/>
                <w:color w:val="000000" w:themeColor="text1"/>
                <w:lang w:val="en-US"/>
              </w:rPr>
              <w:t xml:space="preserve"> de </w:t>
            </w:r>
            <w:proofErr w:type="spellStart"/>
            <w:r w:rsidRPr="00693974">
              <w:rPr>
                <w:rFonts w:cstheme="minorHAnsi"/>
                <w:color w:val="000000" w:themeColor="text1"/>
                <w:lang w:val="en-US"/>
              </w:rPr>
              <w:t>valeur</w:t>
            </w:r>
            <w:proofErr w:type="spellEnd"/>
            <w:r w:rsidRPr="00693974">
              <w:rPr>
                <w:rFonts w:cstheme="minorHAnsi"/>
                <w:color w:val="000000" w:themeColor="text1"/>
                <w:lang w:val="en-US"/>
              </w:rPr>
              <w:t xml:space="preserve"> </w:t>
            </w:r>
            <w:proofErr w:type="spellStart"/>
            <w:r w:rsidRPr="00693974">
              <w:rPr>
                <w:rFonts w:cstheme="minorHAnsi"/>
                <w:color w:val="000000" w:themeColor="text1"/>
                <w:lang w:val="en-US"/>
              </w:rPr>
              <w:t>alimentaire</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7694005B" w:rsidR="00C32E34" w:rsidRDefault="004335AE" w:rsidP="009657B8">
            <w:pPr>
              <w:rPr>
                <w:rFonts w:cstheme="minorHAnsi"/>
                <w:color w:val="000000" w:themeColor="text1"/>
                <w:lang w:val="en-US"/>
              </w:rPr>
            </w:pPr>
            <w:r w:rsidRPr="004335AE">
              <w:rPr>
                <w:rFonts w:cstheme="minorHAnsi"/>
                <w:color w:val="000000" w:themeColor="text1"/>
                <w:lang w:val="en-US"/>
              </w:rPr>
              <w:t>Out-migration</w:t>
            </w:r>
          </w:p>
        </w:tc>
        <w:tc>
          <w:tcPr>
            <w:tcW w:w="4449" w:type="dxa"/>
          </w:tcPr>
          <w:p w14:paraId="1479DEB3" w14:textId="5C4B94FF" w:rsidR="00C32E34" w:rsidRPr="000C67EA" w:rsidRDefault="004335AE" w:rsidP="009657B8">
            <w:pPr>
              <w:rPr>
                <w:rFonts w:cstheme="minorHAnsi"/>
                <w:color w:val="000000" w:themeColor="text1"/>
              </w:rPr>
            </w:pPr>
            <w:proofErr w:type="spellStart"/>
            <w:r w:rsidRPr="004335AE">
              <w:rPr>
                <w:rFonts w:cstheme="minorHAnsi"/>
                <w:color w:val="000000" w:themeColor="text1"/>
              </w:rPr>
              <w:t>Émigration</w:t>
            </w:r>
            <w:proofErr w:type="spellEnd"/>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390795EA" w:rsidR="00C32E34" w:rsidRDefault="0082294E" w:rsidP="009657B8">
            <w:pPr>
              <w:rPr>
                <w:rFonts w:cstheme="minorHAnsi"/>
                <w:color w:val="000000" w:themeColor="text1"/>
                <w:lang w:val="en-US"/>
              </w:rPr>
            </w:pPr>
            <w:r w:rsidRPr="004F5476">
              <w:rPr>
                <w:rFonts w:cstheme="minorHAnsi"/>
                <w:color w:val="000000" w:themeColor="text1"/>
                <w:lang w:val="en-US"/>
              </w:rPr>
              <w:t>All else constant</w:t>
            </w:r>
          </w:p>
        </w:tc>
        <w:tc>
          <w:tcPr>
            <w:tcW w:w="4449" w:type="dxa"/>
          </w:tcPr>
          <w:p w14:paraId="39141B9D" w14:textId="2D8DA7D6" w:rsidR="00C32E34" w:rsidRPr="0082294E" w:rsidRDefault="0082294E" w:rsidP="009657B8">
            <w:pPr>
              <w:rPr>
                <w:rFonts w:cstheme="minorHAnsi"/>
                <w:color w:val="000000" w:themeColor="text1"/>
                <w:lang w:val="fr-CA"/>
              </w:rPr>
            </w:pPr>
            <w:proofErr w:type="spellStart"/>
            <w:r w:rsidRPr="004F5476">
              <w:rPr>
                <w:rFonts w:cstheme="minorHAnsi"/>
                <w:color w:val="000000" w:themeColor="text1"/>
              </w:rPr>
              <w:t>Toutes</w:t>
            </w:r>
            <w:proofErr w:type="spellEnd"/>
            <w:r w:rsidRPr="004F5476">
              <w:rPr>
                <w:rFonts w:cstheme="minorHAnsi"/>
                <w:color w:val="000000" w:themeColor="text1"/>
              </w:rPr>
              <w:t xml:space="preserve"> </w:t>
            </w:r>
            <w:proofErr w:type="spellStart"/>
            <w:r w:rsidRPr="004F5476">
              <w:rPr>
                <w:rFonts w:cstheme="minorHAnsi"/>
                <w:color w:val="000000" w:themeColor="text1"/>
              </w:rPr>
              <w:t>choses</w:t>
            </w:r>
            <w:proofErr w:type="spellEnd"/>
            <w:r w:rsidRPr="004F5476">
              <w:rPr>
                <w:rFonts w:cstheme="minorHAnsi"/>
                <w:color w:val="000000" w:themeColor="text1"/>
              </w:rPr>
              <w:t xml:space="preserve"> </w:t>
            </w:r>
            <w:proofErr w:type="spellStart"/>
            <w:r w:rsidRPr="004F5476">
              <w:rPr>
                <w:rFonts w:cstheme="minorHAnsi"/>
                <w:color w:val="000000" w:themeColor="text1"/>
              </w:rPr>
              <w:t>égales</w:t>
            </w:r>
            <w:proofErr w:type="spellEnd"/>
            <w:r w:rsidRPr="004F5476">
              <w:rPr>
                <w:rFonts w:cstheme="minorHAnsi"/>
                <w:color w:val="000000" w:themeColor="text1"/>
              </w:rPr>
              <w:t xml:space="preserve"> par </w:t>
            </w:r>
            <w:proofErr w:type="spellStart"/>
            <w:r w:rsidRPr="004F5476">
              <w:rPr>
                <w:rFonts w:cstheme="minorHAnsi"/>
                <w:color w:val="000000" w:themeColor="text1"/>
              </w:rPr>
              <w:t>ailleurs</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1F55E6F1" w:rsidR="00C32E34" w:rsidRDefault="002B1985" w:rsidP="009657B8">
            <w:pPr>
              <w:rPr>
                <w:rFonts w:cstheme="minorHAnsi"/>
                <w:color w:val="000000" w:themeColor="text1"/>
                <w:lang w:val="en-US"/>
              </w:rPr>
            </w:pPr>
            <w:r w:rsidRPr="002B1985">
              <w:rPr>
                <w:rFonts w:cstheme="minorHAnsi"/>
                <w:color w:val="000000" w:themeColor="text1"/>
                <w:lang w:val="en-US"/>
              </w:rPr>
              <w:t>Debt distress</w:t>
            </w:r>
          </w:p>
        </w:tc>
        <w:tc>
          <w:tcPr>
            <w:tcW w:w="4449" w:type="dxa"/>
          </w:tcPr>
          <w:p w14:paraId="09A4F8BB" w14:textId="2EEA19D5" w:rsidR="00C32E34" w:rsidRPr="00691B2B" w:rsidRDefault="00691B2B" w:rsidP="009657B8">
            <w:pPr>
              <w:rPr>
                <w:rFonts w:cstheme="minorHAnsi"/>
                <w:color w:val="000000" w:themeColor="text1"/>
                <w:lang w:val="fr-CA"/>
              </w:rPr>
            </w:pPr>
            <w:r>
              <w:rPr>
                <w:rFonts w:cstheme="minorHAnsi"/>
                <w:color w:val="000000" w:themeColor="text1"/>
                <w:lang w:val="fr-CA"/>
              </w:rPr>
              <w:t>In</w:t>
            </w:r>
            <w:r w:rsidR="00E51C54" w:rsidRPr="00691B2B">
              <w:rPr>
                <w:rFonts w:cstheme="minorHAnsi"/>
                <w:color w:val="000000" w:themeColor="text1"/>
                <w:lang w:val="fr-CA"/>
              </w:rPr>
              <w:t>solvabilité</w:t>
            </w:r>
          </w:p>
        </w:tc>
      </w:tr>
    </w:tbl>
    <w:p w14:paraId="08B268C8" w14:textId="77777777" w:rsidR="0083356E" w:rsidRPr="00691B2B" w:rsidRDefault="0083356E" w:rsidP="00C32E34">
      <w:pPr>
        <w:rPr>
          <w:rFonts w:cstheme="minorHAnsi"/>
          <w:b/>
          <w:bCs/>
          <w:color w:val="000000" w:themeColor="text1"/>
          <w:u w:val="single"/>
          <w:lang w:val="fr-CA"/>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eGrid"/>
        <w:tblW w:w="0" w:type="auto"/>
        <w:tblLook w:val="04A0" w:firstRow="1" w:lastRow="0" w:firstColumn="1" w:lastColumn="0" w:noHBand="0" w:noVBand="1"/>
      </w:tblPr>
      <w:tblGrid>
        <w:gridCol w:w="3510"/>
        <w:gridCol w:w="4449"/>
      </w:tblGrid>
      <w:tr w:rsidR="00472318" w:rsidRPr="00B832E6" w14:paraId="450D9B13" w14:textId="77777777" w:rsidTr="0083356E">
        <w:tc>
          <w:tcPr>
            <w:tcW w:w="3510"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83356E">
        <w:tc>
          <w:tcPr>
            <w:tcW w:w="3510" w:type="dxa"/>
          </w:tcPr>
          <w:p w14:paraId="50C4A1FC" w14:textId="26570CD2" w:rsidR="001006E3" w:rsidRDefault="001006E3" w:rsidP="00B41EB5">
            <w:pPr>
              <w:rPr>
                <w:rFonts w:cs="Times New Roman"/>
              </w:rPr>
            </w:pPr>
            <w:r>
              <w:rPr>
                <w:rFonts w:cs="Times New Roman"/>
              </w:rPr>
              <w:t xml:space="preserve">1st </w:t>
            </w:r>
            <w:proofErr w:type="spellStart"/>
            <w:r w:rsidR="0054123D">
              <w:rPr>
                <w:rFonts w:cs="Times New Roman"/>
              </w:rPr>
              <w:t>text</w:t>
            </w:r>
            <w:proofErr w:type="spellEnd"/>
            <w:r w:rsidR="0054123D">
              <w:rPr>
                <w:rFonts w:cs="Times New Roman"/>
              </w:rPr>
              <w:t xml:space="preserve"> (282 </w:t>
            </w:r>
            <w:proofErr w:type="spellStart"/>
            <w:r w:rsidR="0054123D">
              <w:rPr>
                <w:rFonts w:cs="Times New Roman"/>
              </w:rPr>
              <w:t>words</w:t>
            </w:r>
            <w:proofErr w:type="spellEnd"/>
            <w:r w:rsidR="0054123D">
              <w:rPr>
                <w:rFonts w:cs="Times New Roman"/>
              </w:rPr>
              <w:t>)</w:t>
            </w:r>
          </w:p>
          <w:p w14:paraId="785259C0" w14:textId="7493AA74" w:rsidR="00472318" w:rsidRDefault="00EA5C75" w:rsidP="00B41EB5">
            <w:pPr>
              <w:rPr>
                <w:rFonts w:cs="Times New Roman"/>
              </w:rPr>
            </w:pPr>
            <w:proofErr w:type="spellStart"/>
            <w:r w:rsidRPr="00902076">
              <w:rPr>
                <w:rFonts w:cs="Times New Roman"/>
              </w:rPr>
              <w:t>Improvements</w:t>
            </w:r>
            <w:proofErr w:type="spellEnd"/>
            <w:r w:rsidRPr="00902076">
              <w:rPr>
                <w:rFonts w:cs="Times New Roman"/>
              </w:rPr>
              <w:t xml:space="preserve"> in </w:t>
            </w:r>
            <w:proofErr w:type="spellStart"/>
            <w:r w:rsidRPr="00902076">
              <w:rPr>
                <w:rFonts w:cs="Times New Roman"/>
              </w:rPr>
              <w:t>the</w:t>
            </w:r>
            <w:proofErr w:type="spellEnd"/>
            <w:r w:rsidRPr="00902076">
              <w:rPr>
                <w:rFonts w:cs="Times New Roman"/>
              </w:rPr>
              <w:t xml:space="preserve"> </w:t>
            </w:r>
            <w:proofErr w:type="spellStart"/>
            <w:r w:rsidRPr="00902076">
              <w:rPr>
                <w:rFonts w:cs="Times New Roman"/>
              </w:rPr>
              <w:t>business</w:t>
            </w:r>
            <w:proofErr w:type="spellEnd"/>
            <w:r w:rsidRPr="00902076">
              <w:rPr>
                <w:rFonts w:cs="Times New Roman"/>
              </w:rPr>
              <w:t xml:space="preserve"> </w:t>
            </w:r>
            <w:proofErr w:type="spellStart"/>
            <w:r w:rsidRPr="00902076">
              <w:rPr>
                <w:rFonts w:cs="Times New Roman"/>
              </w:rPr>
              <w:t>environment</w:t>
            </w:r>
            <w:proofErr w:type="spellEnd"/>
            <w:r w:rsidRPr="00902076">
              <w:rPr>
                <w:rFonts w:cs="Times New Roman"/>
              </w:rPr>
              <w:t xml:space="preserve"> </w:t>
            </w:r>
            <w:proofErr w:type="spellStart"/>
            <w:r w:rsidRPr="00902076">
              <w:rPr>
                <w:rFonts w:cs="Times New Roman"/>
              </w:rPr>
              <w:t>for</w:t>
            </w:r>
            <w:proofErr w:type="spellEnd"/>
            <w:r w:rsidRPr="00902076">
              <w:rPr>
                <w:rFonts w:cs="Times New Roman"/>
              </w:rPr>
              <w:t xml:space="preserve"> formal and informal </w:t>
            </w:r>
            <w:proofErr w:type="spellStart"/>
            <w:r w:rsidRPr="00902076">
              <w:rPr>
                <w:rFonts w:cs="Times New Roman"/>
              </w:rPr>
              <w:t>enterprises</w:t>
            </w:r>
            <w:proofErr w:type="spellEnd"/>
            <w:r w:rsidRPr="00902076">
              <w:rPr>
                <w:rFonts w:cs="Times New Roman"/>
              </w:rPr>
              <w:t xml:space="preserve"> and </w:t>
            </w:r>
            <w:proofErr w:type="spellStart"/>
            <w:r w:rsidRPr="00902076">
              <w:rPr>
                <w:rFonts w:cs="Times New Roman"/>
              </w:rPr>
              <w:t>the</w:t>
            </w:r>
            <w:proofErr w:type="spellEnd"/>
            <w:r w:rsidRPr="00902076">
              <w:rPr>
                <w:rFonts w:cs="Times New Roman"/>
              </w:rPr>
              <w:t xml:space="preserve"> </w:t>
            </w:r>
            <w:proofErr w:type="spellStart"/>
            <w:r w:rsidRPr="00902076">
              <w:rPr>
                <w:rFonts w:cs="Times New Roman"/>
              </w:rPr>
              <w:t>way</w:t>
            </w:r>
            <w:proofErr w:type="spellEnd"/>
            <w:r w:rsidRPr="00902076">
              <w:rPr>
                <w:rFonts w:cs="Times New Roman"/>
              </w:rPr>
              <w:t xml:space="preserve"> in </w:t>
            </w:r>
            <w:proofErr w:type="spellStart"/>
            <w:r w:rsidRPr="00902076">
              <w:rPr>
                <w:rFonts w:cs="Times New Roman"/>
              </w:rPr>
              <w:t>which</w:t>
            </w:r>
            <w:proofErr w:type="spellEnd"/>
            <w:r w:rsidRPr="00902076">
              <w:rPr>
                <w:rFonts w:cs="Times New Roman"/>
              </w:rPr>
              <w:t xml:space="preserve"> </w:t>
            </w:r>
            <w:proofErr w:type="spellStart"/>
            <w:r w:rsidRPr="00902076">
              <w:rPr>
                <w:rFonts w:cs="Times New Roman"/>
              </w:rPr>
              <w:t>the</w:t>
            </w:r>
            <w:proofErr w:type="spellEnd"/>
            <w:r w:rsidRPr="00902076">
              <w:rPr>
                <w:rFonts w:cs="Times New Roman"/>
              </w:rPr>
              <w:t xml:space="preserve"> </w:t>
            </w:r>
            <w:proofErr w:type="spellStart"/>
            <w:r w:rsidRPr="00902076">
              <w:rPr>
                <w:rFonts w:cs="Times New Roman"/>
              </w:rPr>
              <w:t>public</w:t>
            </w:r>
            <w:proofErr w:type="spellEnd"/>
            <w:r w:rsidRPr="00902076">
              <w:rPr>
                <w:rFonts w:cs="Times New Roman"/>
              </w:rPr>
              <w:t xml:space="preserve"> sector </w:t>
            </w:r>
            <w:proofErr w:type="spellStart"/>
            <w:r w:rsidRPr="00902076">
              <w:rPr>
                <w:rFonts w:cs="Times New Roman"/>
              </w:rPr>
              <w:t>is</w:t>
            </w:r>
            <w:proofErr w:type="spellEnd"/>
            <w:r w:rsidRPr="00902076">
              <w:rPr>
                <w:rFonts w:cs="Times New Roman"/>
              </w:rPr>
              <w:t xml:space="preserve"> </w:t>
            </w:r>
            <w:proofErr w:type="spellStart"/>
            <w:r w:rsidRPr="00902076">
              <w:rPr>
                <w:rFonts w:cs="Times New Roman"/>
              </w:rPr>
              <w:t>managed</w:t>
            </w:r>
            <w:proofErr w:type="spellEnd"/>
            <w:r w:rsidRPr="00902076">
              <w:rPr>
                <w:rFonts w:cs="Times New Roman"/>
              </w:rPr>
              <w:t xml:space="preserve"> </w:t>
            </w:r>
            <w:proofErr w:type="spellStart"/>
            <w:r w:rsidRPr="00902076">
              <w:rPr>
                <w:rFonts w:cs="Times New Roman"/>
              </w:rPr>
              <w:t>could</w:t>
            </w:r>
            <w:proofErr w:type="spellEnd"/>
            <w:r w:rsidRPr="00902076">
              <w:rPr>
                <w:rFonts w:cs="Times New Roman"/>
              </w:rPr>
              <w:t xml:space="preserve"> </w:t>
            </w:r>
            <w:proofErr w:type="spellStart"/>
            <w:r w:rsidRPr="00902076">
              <w:rPr>
                <w:rFonts w:cs="Times New Roman"/>
              </w:rPr>
              <w:t>immediately</w:t>
            </w:r>
            <w:proofErr w:type="spellEnd"/>
            <w:r w:rsidRPr="00902076">
              <w:rPr>
                <w:rFonts w:cs="Times New Roman"/>
              </w:rPr>
              <w:t xml:space="preserve"> </w:t>
            </w:r>
            <w:proofErr w:type="spellStart"/>
            <w:r w:rsidRPr="00902076">
              <w:rPr>
                <w:rFonts w:cs="Times New Roman"/>
              </w:rPr>
              <w:t>unlock</w:t>
            </w:r>
            <w:proofErr w:type="spellEnd"/>
            <w:r w:rsidRPr="00902076">
              <w:rPr>
                <w:rFonts w:cs="Times New Roman"/>
              </w:rPr>
              <w:t xml:space="preserve"> </w:t>
            </w:r>
            <w:proofErr w:type="spellStart"/>
            <w:r w:rsidRPr="00902076">
              <w:rPr>
                <w:rFonts w:cs="Times New Roman"/>
              </w:rPr>
              <w:t>much</w:t>
            </w:r>
            <w:proofErr w:type="spellEnd"/>
            <w:r w:rsidRPr="00902076">
              <w:rPr>
                <w:rFonts w:cs="Times New Roman"/>
              </w:rPr>
              <w:t xml:space="preserve"> </w:t>
            </w:r>
            <w:proofErr w:type="spellStart"/>
            <w:r w:rsidRPr="00902076">
              <w:rPr>
                <w:rFonts w:cs="Times New Roman"/>
              </w:rPr>
              <w:t>economic</w:t>
            </w:r>
            <w:proofErr w:type="spellEnd"/>
            <w:r w:rsidRPr="00902076">
              <w:rPr>
                <w:rFonts w:cs="Times New Roman"/>
              </w:rPr>
              <w:t xml:space="preserve"> </w:t>
            </w:r>
            <w:proofErr w:type="spellStart"/>
            <w:r w:rsidRPr="00902076">
              <w:rPr>
                <w:rFonts w:cs="Times New Roman"/>
              </w:rPr>
              <w:t>potential</w:t>
            </w:r>
            <w:proofErr w:type="spellEnd"/>
            <w:r w:rsidRPr="00902076">
              <w:rPr>
                <w:rFonts w:cs="Times New Roman"/>
              </w:rPr>
              <w:t xml:space="preserve"> </w:t>
            </w:r>
            <w:proofErr w:type="spellStart"/>
            <w:r w:rsidRPr="00902076">
              <w:rPr>
                <w:rFonts w:cs="Times New Roman"/>
              </w:rPr>
              <w:t>by</w:t>
            </w:r>
            <w:proofErr w:type="spellEnd"/>
            <w:r w:rsidRPr="00902076">
              <w:rPr>
                <w:rFonts w:cs="Times New Roman"/>
              </w:rPr>
              <w:t xml:space="preserve"> </w:t>
            </w:r>
            <w:proofErr w:type="spellStart"/>
            <w:r w:rsidRPr="00902076">
              <w:rPr>
                <w:rFonts w:cs="Times New Roman"/>
              </w:rPr>
              <w:t>stimulating</w:t>
            </w:r>
            <w:proofErr w:type="spellEnd"/>
            <w:r w:rsidRPr="00902076">
              <w:rPr>
                <w:rFonts w:cs="Times New Roman"/>
              </w:rPr>
              <w:t xml:space="preserve"> </w:t>
            </w:r>
            <w:proofErr w:type="spellStart"/>
            <w:r w:rsidRPr="00902076">
              <w:rPr>
                <w:rFonts w:cs="Times New Roman"/>
              </w:rPr>
              <w:t>private</w:t>
            </w:r>
            <w:proofErr w:type="spellEnd"/>
            <w:r w:rsidRPr="00902076">
              <w:rPr>
                <w:rFonts w:cs="Times New Roman"/>
              </w:rPr>
              <w:t xml:space="preserve"> sector </w:t>
            </w:r>
            <w:proofErr w:type="spellStart"/>
            <w:r w:rsidRPr="00902076">
              <w:rPr>
                <w:rFonts w:cs="Times New Roman"/>
              </w:rPr>
              <w:t>activity</w:t>
            </w:r>
            <w:proofErr w:type="spellEnd"/>
            <w:r w:rsidRPr="00902076">
              <w:rPr>
                <w:rFonts w:cs="Times New Roman"/>
              </w:rPr>
              <w:t xml:space="preserve"> </w:t>
            </w:r>
            <w:proofErr w:type="spellStart"/>
            <w:r w:rsidRPr="00902076">
              <w:rPr>
                <w:rFonts w:cs="Times New Roman"/>
              </w:rPr>
              <w:t>or</w:t>
            </w:r>
            <w:proofErr w:type="spellEnd"/>
            <w:r w:rsidRPr="00902076">
              <w:rPr>
                <w:rFonts w:cs="Times New Roman"/>
              </w:rPr>
              <w:t xml:space="preserve"> </w:t>
            </w:r>
            <w:proofErr w:type="spellStart"/>
            <w:r w:rsidRPr="00902076">
              <w:rPr>
                <w:rFonts w:cs="Times New Roman"/>
              </w:rPr>
              <w:t>by</w:t>
            </w:r>
            <w:proofErr w:type="spellEnd"/>
            <w:r w:rsidRPr="00902076">
              <w:rPr>
                <w:rFonts w:cs="Times New Roman"/>
              </w:rPr>
              <w:t xml:space="preserve"> </w:t>
            </w:r>
            <w:proofErr w:type="spellStart"/>
            <w:r w:rsidRPr="00902076">
              <w:rPr>
                <w:rFonts w:cs="Times New Roman"/>
              </w:rPr>
              <w:t>increasing</w:t>
            </w:r>
            <w:proofErr w:type="spellEnd"/>
            <w:r w:rsidRPr="00902076">
              <w:rPr>
                <w:rFonts w:cs="Times New Roman"/>
              </w:rPr>
              <w:t xml:space="preserve"> </w:t>
            </w:r>
            <w:proofErr w:type="spellStart"/>
            <w:r w:rsidRPr="00902076">
              <w:rPr>
                <w:rFonts w:cs="Times New Roman"/>
              </w:rPr>
              <w:t>the</w:t>
            </w:r>
            <w:proofErr w:type="spellEnd"/>
            <w:r w:rsidRPr="00902076">
              <w:rPr>
                <w:rFonts w:cs="Times New Roman"/>
              </w:rPr>
              <w:t xml:space="preserve"> </w:t>
            </w:r>
            <w:proofErr w:type="spellStart"/>
            <w:r w:rsidRPr="00902076">
              <w:rPr>
                <w:rFonts w:cs="Times New Roman"/>
              </w:rPr>
              <w:t>efficiency</w:t>
            </w:r>
            <w:proofErr w:type="spellEnd"/>
            <w:r w:rsidRPr="00902076">
              <w:rPr>
                <w:rFonts w:cs="Times New Roman"/>
              </w:rPr>
              <w:t xml:space="preserve"> </w:t>
            </w:r>
            <w:proofErr w:type="spellStart"/>
            <w:r w:rsidRPr="00902076">
              <w:rPr>
                <w:rFonts w:cs="Times New Roman"/>
              </w:rPr>
              <w:t>of</w:t>
            </w:r>
            <w:proofErr w:type="spellEnd"/>
            <w:r w:rsidRPr="00902076">
              <w:rPr>
                <w:rFonts w:cs="Times New Roman"/>
              </w:rPr>
              <w:t xml:space="preserve"> </w:t>
            </w:r>
            <w:proofErr w:type="spellStart"/>
            <w:r w:rsidRPr="00902076">
              <w:rPr>
                <w:rFonts w:cs="Times New Roman"/>
              </w:rPr>
              <w:t>public</w:t>
            </w:r>
            <w:proofErr w:type="spellEnd"/>
            <w:r w:rsidRPr="00902076">
              <w:rPr>
                <w:rFonts w:cs="Times New Roman"/>
              </w:rPr>
              <w:t xml:space="preserve"> </w:t>
            </w:r>
            <w:proofErr w:type="spellStart"/>
            <w:r w:rsidRPr="00902076">
              <w:rPr>
                <w:rFonts w:cs="Times New Roman"/>
              </w:rPr>
              <w:t>investments</w:t>
            </w:r>
            <w:proofErr w:type="spellEnd"/>
            <w:r w:rsidRPr="00902076">
              <w:rPr>
                <w:rFonts w:cs="Times New Roman"/>
              </w:rPr>
              <w:t xml:space="preserve"> and </w:t>
            </w:r>
            <w:proofErr w:type="spellStart"/>
            <w:r w:rsidRPr="00902076">
              <w:rPr>
                <w:rFonts w:cs="Times New Roman"/>
              </w:rPr>
              <w:t>service</w:t>
            </w:r>
            <w:proofErr w:type="spellEnd"/>
            <w:r w:rsidRPr="00902076">
              <w:rPr>
                <w:rFonts w:cs="Times New Roman"/>
              </w:rPr>
              <w:t xml:space="preserve"> </w:t>
            </w:r>
            <w:proofErr w:type="spellStart"/>
            <w:r w:rsidRPr="00902076">
              <w:rPr>
                <w:rFonts w:cs="Times New Roman"/>
              </w:rPr>
              <w:t>provision</w:t>
            </w:r>
            <w:proofErr w:type="spellEnd"/>
            <w:r w:rsidRPr="00902076">
              <w:rPr>
                <w:rFonts w:cs="Times New Roman"/>
              </w:rPr>
              <w:t xml:space="preserve"> </w:t>
            </w:r>
            <w:proofErr w:type="spellStart"/>
            <w:r w:rsidRPr="00902076">
              <w:rPr>
                <w:rFonts w:cs="Times New Roman"/>
              </w:rPr>
              <w:t>An</w:t>
            </w:r>
            <w:proofErr w:type="spellEnd"/>
            <w:r w:rsidRPr="00902076">
              <w:rPr>
                <w:rFonts w:cs="Times New Roman"/>
              </w:rPr>
              <w:t xml:space="preserve"> </w:t>
            </w:r>
            <w:proofErr w:type="spellStart"/>
            <w:r w:rsidRPr="00902076">
              <w:rPr>
                <w:rFonts w:cs="Times New Roman"/>
              </w:rPr>
              <w:t>approach</w:t>
            </w:r>
            <w:proofErr w:type="spellEnd"/>
            <w:r w:rsidRPr="00902076">
              <w:rPr>
                <w:rFonts w:cs="Times New Roman"/>
              </w:rPr>
              <w:t xml:space="preserve"> </w:t>
            </w:r>
            <w:proofErr w:type="spellStart"/>
            <w:r w:rsidRPr="00902076">
              <w:rPr>
                <w:rFonts w:cs="Times New Roman"/>
              </w:rPr>
              <w:t>that</w:t>
            </w:r>
            <w:proofErr w:type="spellEnd"/>
            <w:r w:rsidRPr="00902076">
              <w:rPr>
                <w:rFonts w:cs="Times New Roman"/>
              </w:rPr>
              <w:t xml:space="preserve"> targets </w:t>
            </w:r>
            <w:proofErr w:type="spellStart"/>
            <w:r w:rsidRPr="00902076">
              <w:rPr>
                <w:rFonts w:cs="Times New Roman"/>
              </w:rPr>
              <w:t>citizens</w:t>
            </w:r>
            <w:proofErr w:type="spellEnd"/>
            <w:r w:rsidRPr="00902076">
              <w:rPr>
                <w:rFonts w:cs="Times New Roman"/>
              </w:rPr>
              <w:t xml:space="preserve"> more </w:t>
            </w:r>
            <w:proofErr w:type="spellStart"/>
            <w:r w:rsidRPr="00902076">
              <w:rPr>
                <w:rFonts w:cs="Times New Roman"/>
              </w:rPr>
              <w:t>directly</w:t>
            </w:r>
            <w:proofErr w:type="spellEnd"/>
            <w:r w:rsidRPr="00902076">
              <w:rPr>
                <w:rFonts w:cs="Times New Roman"/>
              </w:rPr>
              <w:t xml:space="preserve"> and </w:t>
            </w:r>
            <w:proofErr w:type="spellStart"/>
            <w:r w:rsidRPr="00902076">
              <w:rPr>
                <w:rFonts w:cs="Times New Roman"/>
              </w:rPr>
              <w:t>that</w:t>
            </w:r>
            <w:proofErr w:type="spellEnd"/>
            <w:r w:rsidRPr="00902076">
              <w:rPr>
                <w:rFonts w:cs="Times New Roman"/>
              </w:rPr>
              <w:t xml:space="preserve"> </w:t>
            </w:r>
            <w:proofErr w:type="spellStart"/>
            <w:r w:rsidRPr="00902076">
              <w:rPr>
                <w:rFonts w:cs="Times New Roman"/>
              </w:rPr>
              <w:t>pays</w:t>
            </w:r>
            <w:proofErr w:type="spellEnd"/>
            <w:r w:rsidRPr="00902076">
              <w:rPr>
                <w:rFonts w:cs="Times New Roman"/>
              </w:rPr>
              <w:t xml:space="preserve"> more </w:t>
            </w:r>
            <w:proofErr w:type="spellStart"/>
            <w:r w:rsidRPr="00902076">
              <w:rPr>
                <w:rFonts w:cs="Times New Roman"/>
              </w:rPr>
              <w:t>attention</w:t>
            </w:r>
            <w:proofErr w:type="spellEnd"/>
            <w:r w:rsidRPr="00902076">
              <w:rPr>
                <w:rFonts w:cs="Times New Roman"/>
              </w:rPr>
              <w:t xml:space="preserve"> </w:t>
            </w:r>
            <w:proofErr w:type="spellStart"/>
            <w:r w:rsidRPr="00902076">
              <w:rPr>
                <w:rFonts w:cs="Times New Roman"/>
              </w:rPr>
              <w:t>to</w:t>
            </w:r>
            <w:proofErr w:type="spellEnd"/>
            <w:r w:rsidRPr="00902076">
              <w:rPr>
                <w:rFonts w:cs="Times New Roman"/>
              </w:rPr>
              <w:t xml:space="preserve"> </w:t>
            </w:r>
            <w:proofErr w:type="spellStart"/>
            <w:r w:rsidRPr="00902076">
              <w:rPr>
                <w:rFonts w:cs="Times New Roman"/>
              </w:rPr>
              <w:t>financing</w:t>
            </w:r>
            <w:proofErr w:type="spellEnd"/>
            <w:r w:rsidRPr="00902076">
              <w:rPr>
                <w:rFonts w:cs="Times New Roman"/>
              </w:rPr>
              <w:t xml:space="preserve"> </w:t>
            </w:r>
            <w:proofErr w:type="spellStart"/>
            <w:r w:rsidRPr="00902076">
              <w:rPr>
                <w:rFonts w:cs="Times New Roman"/>
              </w:rPr>
              <w:t>results</w:t>
            </w:r>
            <w:proofErr w:type="spellEnd"/>
            <w:r w:rsidRPr="00902076">
              <w:rPr>
                <w:rFonts w:cs="Times New Roman"/>
              </w:rPr>
              <w:t xml:space="preserve"> as </w:t>
            </w:r>
            <w:proofErr w:type="spellStart"/>
            <w:r w:rsidRPr="00902076">
              <w:rPr>
                <w:rFonts w:cs="Times New Roman"/>
              </w:rPr>
              <w:lastRenderedPageBreak/>
              <w:t>opposed</w:t>
            </w:r>
            <w:proofErr w:type="spellEnd"/>
            <w:r w:rsidRPr="00902076">
              <w:rPr>
                <w:rFonts w:cs="Times New Roman"/>
              </w:rPr>
              <w:t xml:space="preserve"> </w:t>
            </w:r>
            <w:proofErr w:type="spellStart"/>
            <w:r w:rsidRPr="00902076">
              <w:rPr>
                <w:rFonts w:cs="Times New Roman"/>
              </w:rPr>
              <w:t>to</w:t>
            </w:r>
            <w:proofErr w:type="spellEnd"/>
            <w:r w:rsidRPr="00902076">
              <w:rPr>
                <w:rFonts w:cs="Times New Roman"/>
              </w:rPr>
              <w:t xml:space="preserve"> inputs </w:t>
            </w:r>
            <w:proofErr w:type="spellStart"/>
            <w:r w:rsidRPr="00902076">
              <w:rPr>
                <w:rFonts w:cs="Times New Roman"/>
              </w:rPr>
              <w:t>offers</w:t>
            </w:r>
            <w:proofErr w:type="spellEnd"/>
            <w:r w:rsidRPr="00902076">
              <w:rPr>
                <w:rFonts w:cs="Times New Roman"/>
              </w:rPr>
              <w:t xml:space="preserve"> </w:t>
            </w:r>
            <w:proofErr w:type="spellStart"/>
            <w:r w:rsidRPr="00902076">
              <w:rPr>
                <w:rFonts w:cs="Times New Roman"/>
              </w:rPr>
              <w:t>promise</w:t>
            </w:r>
            <w:proofErr w:type="spellEnd"/>
            <w:r w:rsidRPr="00902076">
              <w:rPr>
                <w:rFonts w:cs="Times New Roman"/>
              </w:rPr>
              <w:t xml:space="preserve">. </w:t>
            </w:r>
            <w:proofErr w:type="spellStart"/>
            <w:r w:rsidRPr="00902076">
              <w:rPr>
                <w:rFonts w:cs="Times New Roman"/>
              </w:rPr>
              <w:t>It</w:t>
            </w:r>
            <w:proofErr w:type="spellEnd"/>
            <w:r w:rsidRPr="00902076">
              <w:rPr>
                <w:rFonts w:cs="Times New Roman"/>
              </w:rPr>
              <w:t xml:space="preserve"> </w:t>
            </w:r>
            <w:proofErr w:type="spellStart"/>
            <w:r w:rsidRPr="00902076">
              <w:rPr>
                <w:rFonts w:cs="Times New Roman"/>
              </w:rPr>
              <w:t>strengthens</w:t>
            </w:r>
            <w:proofErr w:type="spellEnd"/>
            <w:r w:rsidRPr="00902076">
              <w:rPr>
                <w:rFonts w:cs="Times New Roman"/>
              </w:rPr>
              <w:t xml:space="preserve"> local </w:t>
            </w:r>
            <w:proofErr w:type="spellStart"/>
            <w:r w:rsidRPr="00902076">
              <w:rPr>
                <w:rFonts w:cs="Times New Roman"/>
              </w:rPr>
              <w:t>initiatives</w:t>
            </w:r>
            <w:proofErr w:type="spellEnd"/>
            <w:r w:rsidRPr="00902076">
              <w:rPr>
                <w:rFonts w:cs="Times New Roman"/>
              </w:rPr>
              <w:t xml:space="preserve"> and </w:t>
            </w:r>
            <w:proofErr w:type="spellStart"/>
            <w:r w:rsidRPr="00902076">
              <w:rPr>
                <w:rFonts w:cs="Times New Roman"/>
              </w:rPr>
              <w:t>decision</w:t>
            </w:r>
            <w:proofErr w:type="spellEnd"/>
            <w:r w:rsidRPr="00902076">
              <w:rPr>
                <w:rFonts w:cs="Times New Roman"/>
              </w:rPr>
              <w:t xml:space="preserve"> </w:t>
            </w:r>
            <w:proofErr w:type="spellStart"/>
            <w:r w:rsidRPr="00902076">
              <w:rPr>
                <w:rFonts w:cs="Times New Roman"/>
              </w:rPr>
              <w:t>making</w:t>
            </w:r>
            <w:proofErr w:type="spellEnd"/>
            <w:r w:rsidRPr="00902076">
              <w:rPr>
                <w:rFonts w:cs="Times New Roman"/>
              </w:rPr>
              <w:t xml:space="preserve">, </w:t>
            </w:r>
            <w:proofErr w:type="spellStart"/>
            <w:r w:rsidRPr="00902076">
              <w:rPr>
                <w:rFonts w:cs="Times New Roman"/>
              </w:rPr>
              <w:t>increases</w:t>
            </w:r>
            <w:proofErr w:type="spellEnd"/>
            <w:r w:rsidRPr="00902076">
              <w:rPr>
                <w:rFonts w:cs="Times New Roman"/>
              </w:rPr>
              <w:t xml:space="preserve"> local </w:t>
            </w:r>
            <w:proofErr w:type="spellStart"/>
            <w:r w:rsidRPr="00902076">
              <w:rPr>
                <w:rFonts w:cs="Times New Roman"/>
              </w:rPr>
              <w:t>incomes</w:t>
            </w:r>
            <w:proofErr w:type="spellEnd"/>
            <w:r w:rsidRPr="00902076">
              <w:rPr>
                <w:rFonts w:cs="Times New Roman"/>
              </w:rPr>
              <w:t xml:space="preserve"> and </w:t>
            </w:r>
            <w:proofErr w:type="spellStart"/>
            <w:r w:rsidRPr="00902076">
              <w:rPr>
                <w:rFonts w:cs="Times New Roman"/>
              </w:rPr>
              <w:t>autonomy</w:t>
            </w:r>
            <w:proofErr w:type="spellEnd"/>
            <w:r w:rsidRPr="00902076">
              <w:rPr>
                <w:rFonts w:cs="Times New Roman"/>
              </w:rPr>
              <w:t xml:space="preserve">, </w:t>
            </w:r>
            <w:proofErr w:type="spellStart"/>
            <w:r w:rsidRPr="00902076">
              <w:rPr>
                <w:rFonts w:cs="Times New Roman"/>
              </w:rPr>
              <w:t>enhances</w:t>
            </w:r>
            <w:proofErr w:type="spellEnd"/>
            <w:r w:rsidRPr="00902076">
              <w:rPr>
                <w:rFonts w:cs="Times New Roman"/>
              </w:rPr>
              <w:t xml:space="preserve"> </w:t>
            </w:r>
            <w:proofErr w:type="spellStart"/>
            <w:r w:rsidRPr="00902076">
              <w:rPr>
                <w:rFonts w:cs="Times New Roman"/>
              </w:rPr>
              <w:t>access</w:t>
            </w:r>
            <w:proofErr w:type="spellEnd"/>
            <w:r w:rsidRPr="00902076">
              <w:rPr>
                <w:rFonts w:cs="Times New Roman"/>
              </w:rPr>
              <w:t xml:space="preserve"> </w:t>
            </w:r>
            <w:proofErr w:type="spellStart"/>
            <w:r w:rsidRPr="00902076">
              <w:rPr>
                <w:rFonts w:cs="Times New Roman"/>
              </w:rPr>
              <w:t>to</w:t>
            </w:r>
            <w:proofErr w:type="spellEnd"/>
            <w:r w:rsidRPr="00902076">
              <w:rPr>
                <w:rFonts w:cs="Times New Roman"/>
              </w:rPr>
              <w:t xml:space="preserve"> </w:t>
            </w:r>
            <w:proofErr w:type="spellStart"/>
            <w:r w:rsidRPr="00902076">
              <w:rPr>
                <w:rFonts w:cs="Times New Roman"/>
              </w:rPr>
              <w:t>information</w:t>
            </w:r>
            <w:proofErr w:type="spellEnd"/>
            <w:r w:rsidRPr="00902076">
              <w:rPr>
                <w:rFonts w:cs="Times New Roman"/>
              </w:rPr>
              <w:t xml:space="preserve">, and embraces </w:t>
            </w:r>
            <w:proofErr w:type="spellStart"/>
            <w:r w:rsidRPr="00902076">
              <w:rPr>
                <w:rFonts w:cs="Times New Roman"/>
              </w:rPr>
              <w:t>service</w:t>
            </w:r>
            <w:proofErr w:type="spellEnd"/>
            <w:r w:rsidRPr="00902076">
              <w:rPr>
                <w:rFonts w:cs="Times New Roman"/>
              </w:rPr>
              <w:t xml:space="preserve"> </w:t>
            </w:r>
            <w:proofErr w:type="spellStart"/>
            <w:r w:rsidRPr="00902076">
              <w:rPr>
                <w:rFonts w:cs="Times New Roman"/>
              </w:rPr>
              <w:t>delivery</w:t>
            </w:r>
            <w:proofErr w:type="spellEnd"/>
            <w:r w:rsidRPr="00902076">
              <w:rPr>
                <w:rFonts w:cs="Times New Roman"/>
              </w:rPr>
              <w:t xml:space="preserve"> </w:t>
            </w:r>
            <w:proofErr w:type="spellStart"/>
            <w:r w:rsidRPr="00902076">
              <w:rPr>
                <w:rFonts w:cs="Times New Roman"/>
              </w:rPr>
              <w:t>by</w:t>
            </w:r>
            <w:proofErr w:type="spellEnd"/>
            <w:r w:rsidRPr="00902076">
              <w:rPr>
                <w:rFonts w:cs="Times New Roman"/>
              </w:rPr>
              <w:t xml:space="preserve"> </w:t>
            </w:r>
            <w:proofErr w:type="spellStart"/>
            <w:r w:rsidRPr="00902076">
              <w:rPr>
                <w:rFonts w:cs="Times New Roman"/>
              </w:rPr>
              <w:t>whoever</w:t>
            </w:r>
            <w:proofErr w:type="spellEnd"/>
            <w:r w:rsidRPr="00902076">
              <w:rPr>
                <w:rFonts w:cs="Times New Roman"/>
              </w:rPr>
              <w:t xml:space="preserve"> can do </w:t>
            </w:r>
            <w:proofErr w:type="spellStart"/>
            <w:r w:rsidRPr="00902076">
              <w:rPr>
                <w:rFonts w:cs="Times New Roman"/>
              </w:rPr>
              <w:t>so</w:t>
            </w:r>
            <w:proofErr w:type="spellEnd"/>
            <w:r w:rsidRPr="00902076">
              <w:rPr>
                <w:rFonts w:cs="Times New Roman"/>
              </w:rPr>
              <w:t xml:space="preserve">. </w:t>
            </w:r>
            <w:proofErr w:type="spellStart"/>
            <w:r w:rsidRPr="00902076">
              <w:rPr>
                <w:rFonts w:cs="Times New Roman"/>
              </w:rPr>
              <w:t>Such</w:t>
            </w:r>
            <w:proofErr w:type="spellEnd"/>
            <w:r w:rsidRPr="00902076">
              <w:rPr>
                <w:rFonts w:cs="Times New Roman"/>
              </w:rPr>
              <w:t xml:space="preserve"> </w:t>
            </w:r>
            <w:proofErr w:type="spellStart"/>
            <w:r w:rsidRPr="00902076">
              <w:rPr>
                <w:rFonts w:cs="Times New Roman"/>
              </w:rPr>
              <w:t>an</w:t>
            </w:r>
            <w:proofErr w:type="spellEnd"/>
            <w:r w:rsidRPr="00902076">
              <w:rPr>
                <w:rFonts w:cs="Times New Roman"/>
              </w:rPr>
              <w:t xml:space="preserve"> </w:t>
            </w:r>
            <w:proofErr w:type="spellStart"/>
            <w:r w:rsidRPr="00902076">
              <w:rPr>
                <w:rFonts w:cs="Times New Roman"/>
              </w:rPr>
              <w:t>approach</w:t>
            </w:r>
            <w:proofErr w:type="spellEnd"/>
            <w:r w:rsidRPr="00902076">
              <w:rPr>
                <w:rFonts w:cs="Times New Roman"/>
              </w:rPr>
              <w:t xml:space="preserve"> </w:t>
            </w:r>
            <w:proofErr w:type="spellStart"/>
            <w:r w:rsidRPr="00902076">
              <w:rPr>
                <w:rFonts w:cs="Times New Roman"/>
              </w:rPr>
              <w:t>would</w:t>
            </w:r>
            <w:proofErr w:type="spellEnd"/>
            <w:r w:rsidRPr="00902076">
              <w:rPr>
                <w:rFonts w:cs="Times New Roman"/>
              </w:rPr>
              <w:t xml:space="preserve"> </w:t>
            </w:r>
            <w:proofErr w:type="spellStart"/>
            <w:r w:rsidRPr="00902076">
              <w:rPr>
                <w:rFonts w:cs="Times New Roman"/>
              </w:rPr>
              <w:t>enhance</w:t>
            </w:r>
            <w:proofErr w:type="spellEnd"/>
            <w:r w:rsidRPr="00902076">
              <w:rPr>
                <w:rFonts w:cs="Times New Roman"/>
              </w:rPr>
              <w:t xml:space="preserve"> </w:t>
            </w:r>
            <w:proofErr w:type="spellStart"/>
            <w:r w:rsidRPr="00902076">
              <w:rPr>
                <w:rFonts w:cs="Times New Roman"/>
              </w:rPr>
              <w:t>ownership</w:t>
            </w:r>
            <w:proofErr w:type="spellEnd"/>
            <w:r w:rsidRPr="00902076">
              <w:rPr>
                <w:rFonts w:cs="Times New Roman"/>
              </w:rPr>
              <w:t xml:space="preserve">, a </w:t>
            </w:r>
            <w:proofErr w:type="spellStart"/>
            <w:r w:rsidRPr="00902076">
              <w:rPr>
                <w:rFonts w:cs="Times New Roman"/>
              </w:rPr>
              <w:t>precondition</w:t>
            </w:r>
            <w:proofErr w:type="spellEnd"/>
            <w:r w:rsidRPr="00902076">
              <w:rPr>
                <w:rFonts w:cs="Times New Roman"/>
              </w:rPr>
              <w:t xml:space="preserve"> </w:t>
            </w:r>
            <w:proofErr w:type="spellStart"/>
            <w:r w:rsidRPr="00902076">
              <w:rPr>
                <w:rFonts w:cs="Times New Roman"/>
              </w:rPr>
              <w:t>for</w:t>
            </w:r>
            <w:proofErr w:type="spellEnd"/>
            <w:r w:rsidRPr="00902076">
              <w:rPr>
                <w:rFonts w:cs="Times New Roman"/>
              </w:rPr>
              <w:t xml:space="preserve"> </w:t>
            </w:r>
            <w:proofErr w:type="spellStart"/>
            <w:r w:rsidRPr="00902076">
              <w:rPr>
                <w:rFonts w:cs="Times New Roman"/>
              </w:rPr>
              <w:t>sustainability</w:t>
            </w:r>
            <w:proofErr w:type="spellEnd"/>
            <w:r w:rsidRPr="00902076">
              <w:rPr>
                <w:rFonts w:cs="Times New Roman"/>
              </w:rPr>
              <w:t xml:space="preserve">, and </w:t>
            </w:r>
            <w:proofErr w:type="spellStart"/>
            <w:r w:rsidRPr="00902076">
              <w:rPr>
                <w:rFonts w:cs="Times New Roman"/>
              </w:rPr>
              <w:t>move</w:t>
            </w:r>
            <w:proofErr w:type="spellEnd"/>
            <w:r w:rsidRPr="00902076">
              <w:rPr>
                <w:rFonts w:cs="Times New Roman"/>
              </w:rPr>
              <w:t xml:space="preserve"> </w:t>
            </w:r>
            <w:proofErr w:type="spellStart"/>
            <w:r w:rsidRPr="00902076">
              <w:rPr>
                <w:rFonts w:cs="Times New Roman"/>
              </w:rPr>
              <w:t>the</w:t>
            </w:r>
            <w:proofErr w:type="spellEnd"/>
            <w:r w:rsidRPr="00902076">
              <w:rPr>
                <w:rFonts w:cs="Times New Roman"/>
              </w:rPr>
              <w:t xml:space="preserve"> </w:t>
            </w:r>
            <w:proofErr w:type="spellStart"/>
            <w:r w:rsidRPr="00902076">
              <w:rPr>
                <w:rFonts w:cs="Times New Roman"/>
              </w:rPr>
              <w:t>focus</w:t>
            </w:r>
            <w:proofErr w:type="spellEnd"/>
            <w:r w:rsidRPr="00902076">
              <w:rPr>
                <w:rFonts w:cs="Times New Roman"/>
              </w:rPr>
              <w:t xml:space="preserve"> </w:t>
            </w:r>
            <w:proofErr w:type="spellStart"/>
            <w:r w:rsidRPr="00902076">
              <w:rPr>
                <w:rFonts w:cs="Times New Roman"/>
              </w:rPr>
              <w:t>of</w:t>
            </w:r>
            <w:proofErr w:type="spellEnd"/>
            <w:r w:rsidRPr="00902076">
              <w:rPr>
                <w:rFonts w:cs="Times New Roman"/>
              </w:rPr>
              <w:t xml:space="preserve"> </w:t>
            </w:r>
            <w:proofErr w:type="spellStart"/>
            <w:r w:rsidRPr="00902076">
              <w:rPr>
                <w:rFonts w:cs="Times New Roman"/>
              </w:rPr>
              <w:t>decision</w:t>
            </w:r>
            <w:proofErr w:type="spellEnd"/>
            <w:r w:rsidRPr="00902076">
              <w:rPr>
                <w:rFonts w:cs="Times New Roman"/>
              </w:rPr>
              <w:t xml:space="preserve"> </w:t>
            </w:r>
            <w:proofErr w:type="spellStart"/>
            <w:r w:rsidRPr="00902076">
              <w:rPr>
                <w:rFonts w:cs="Times New Roman"/>
              </w:rPr>
              <w:t>makers</w:t>
            </w:r>
            <w:proofErr w:type="spellEnd"/>
            <w:r w:rsidRPr="00902076">
              <w:rPr>
                <w:rFonts w:cs="Times New Roman"/>
              </w:rPr>
              <w:t xml:space="preserve"> and </w:t>
            </w:r>
            <w:proofErr w:type="spellStart"/>
            <w:r w:rsidRPr="00902076">
              <w:rPr>
                <w:rFonts w:cs="Times New Roman"/>
              </w:rPr>
              <w:t>development</w:t>
            </w:r>
            <w:proofErr w:type="spellEnd"/>
            <w:r w:rsidRPr="00902076">
              <w:rPr>
                <w:rFonts w:cs="Times New Roman"/>
              </w:rPr>
              <w:t xml:space="preserve"> agencies </w:t>
            </w:r>
            <w:proofErr w:type="spellStart"/>
            <w:r w:rsidRPr="00902076">
              <w:rPr>
                <w:rFonts w:cs="Times New Roman"/>
              </w:rPr>
              <w:t>away</w:t>
            </w:r>
            <w:proofErr w:type="spellEnd"/>
            <w:r w:rsidRPr="00902076">
              <w:rPr>
                <w:rFonts w:cs="Times New Roman"/>
              </w:rPr>
              <w:t xml:space="preserve"> </w:t>
            </w:r>
            <w:proofErr w:type="spellStart"/>
            <w:r w:rsidRPr="00902076">
              <w:rPr>
                <w:rFonts w:cs="Times New Roman"/>
              </w:rPr>
              <w:t>from</w:t>
            </w:r>
            <w:proofErr w:type="spellEnd"/>
            <w:r w:rsidRPr="00902076">
              <w:rPr>
                <w:rFonts w:cs="Times New Roman"/>
              </w:rPr>
              <w:t xml:space="preserve"> a </w:t>
            </w:r>
            <w:proofErr w:type="spellStart"/>
            <w:r w:rsidRPr="00902076">
              <w:rPr>
                <w:rFonts w:cs="Times New Roman"/>
              </w:rPr>
              <w:t>centralized</w:t>
            </w:r>
            <w:proofErr w:type="spellEnd"/>
            <w:r w:rsidRPr="00902076">
              <w:rPr>
                <w:rFonts w:cs="Times New Roman"/>
              </w:rPr>
              <w:t xml:space="preserve">, </w:t>
            </w:r>
            <w:proofErr w:type="spellStart"/>
            <w:r w:rsidRPr="00902076">
              <w:rPr>
                <w:rFonts w:cs="Times New Roman"/>
              </w:rPr>
              <w:t>state</w:t>
            </w:r>
            <w:proofErr w:type="spellEnd"/>
            <w:r w:rsidRPr="00902076">
              <w:rPr>
                <w:rFonts w:cs="Times New Roman"/>
              </w:rPr>
              <w:t xml:space="preserve">-led </w:t>
            </w:r>
            <w:proofErr w:type="spellStart"/>
            <w:r w:rsidRPr="00902076">
              <w:rPr>
                <w:rFonts w:cs="Times New Roman"/>
              </w:rPr>
              <w:t>development</w:t>
            </w:r>
            <w:proofErr w:type="spellEnd"/>
            <w:r w:rsidRPr="00902076">
              <w:rPr>
                <w:rFonts w:cs="Times New Roman"/>
              </w:rPr>
              <w:t xml:space="preserve"> </w:t>
            </w:r>
            <w:proofErr w:type="spellStart"/>
            <w:r w:rsidRPr="00902076">
              <w:rPr>
                <w:rFonts w:cs="Times New Roman"/>
              </w:rPr>
              <w:t>model</w:t>
            </w:r>
            <w:proofErr w:type="spellEnd"/>
            <w:r w:rsidRPr="00902076">
              <w:rPr>
                <w:rFonts w:cs="Times New Roman"/>
              </w:rPr>
              <w:t xml:space="preserve">. In </w:t>
            </w:r>
            <w:proofErr w:type="spellStart"/>
            <w:r w:rsidRPr="00902076">
              <w:rPr>
                <w:rFonts w:cs="Times New Roman"/>
              </w:rPr>
              <w:t>the</w:t>
            </w:r>
            <w:proofErr w:type="spellEnd"/>
            <w:r w:rsidRPr="00902076">
              <w:rPr>
                <w:rFonts w:cs="Times New Roman"/>
              </w:rPr>
              <w:t xml:space="preserve"> </w:t>
            </w:r>
            <w:proofErr w:type="spellStart"/>
            <w:r w:rsidRPr="00902076">
              <w:rPr>
                <w:rFonts w:cs="Times New Roman"/>
              </w:rPr>
              <w:t>longer</w:t>
            </w:r>
            <w:proofErr w:type="spellEnd"/>
            <w:r w:rsidRPr="00902076">
              <w:rPr>
                <w:rFonts w:cs="Times New Roman"/>
              </w:rPr>
              <w:t xml:space="preserve"> run, a </w:t>
            </w:r>
            <w:proofErr w:type="spellStart"/>
            <w:r w:rsidRPr="00902076">
              <w:rPr>
                <w:rFonts w:cs="Times New Roman"/>
              </w:rPr>
              <w:t>process</w:t>
            </w:r>
            <w:proofErr w:type="spellEnd"/>
            <w:r w:rsidRPr="00902076">
              <w:rPr>
                <w:rFonts w:cs="Times New Roman"/>
              </w:rPr>
              <w:t xml:space="preserve"> </w:t>
            </w:r>
            <w:proofErr w:type="spellStart"/>
            <w:r w:rsidRPr="00902076">
              <w:rPr>
                <w:rFonts w:cs="Times New Roman"/>
              </w:rPr>
              <w:t>of</w:t>
            </w:r>
            <w:proofErr w:type="spellEnd"/>
            <w:r w:rsidRPr="00902076">
              <w:rPr>
                <w:rFonts w:cs="Times New Roman"/>
              </w:rPr>
              <w:t xml:space="preserve"> </w:t>
            </w:r>
            <w:proofErr w:type="spellStart"/>
            <w:r w:rsidRPr="00902076">
              <w:rPr>
                <w:rFonts w:cs="Times New Roman"/>
              </w:rPr>
              <w:t>classical</w:t>
            </w:r>
            <w:proofErr w:type="spellEnd"/>
            <w:r w:rsidRPr="00902076">
              <w:rPr>
                <w:rFonts w:cs="Times New Roman"/>
              </w:rPr>
              <w:t xml:space="preserve"> </w:t>
            </w:r>
            <w:proofErr w:type="spellStart"/>
            <w:r w:rsidRPr="00902076">
              <w:rPr>
                <w:rFonts w:cs="Times New Roman"/>
              </w:rPr>
              <w:t>structural</w:t>
            </w:r>
            <w:proofErr w:type="spellEnd"/>
            <w:r w:rsidRPr="00902076">
              <w:rPr>
                <w:rFonts w:cs="Times New Roman"/>
              </w:rPr>
              <w:t xml:space="preserve"> </w:t>
            </w:r>
            <w:proofErr w:type="spellStart"/>
            <w:r w:rsidRPr="00902076">
              <w:rPr>
                <w:rFonts w:cs="Times New Roman"/>
              </w:rPr>
              <w:t>transformation</w:t>
            </w:r>
            <w:proofErr w:type="spellEnd"/>
            <w:r w:rsidRPr="00902076">
              <w:rPr>
                <w:rFonts w:cs="Times New Roman"/>
              </w:rPr>
              <w:t xml:space="preserve"> </w:t>
            </w:r>
            <w:proofErr w:type="spellStart"/>
            <w:r w:rsidRPr="00902076">
              <w:rPr>
                <w:rFonts w:cs="Times New Roman"/>
              </w:rPr>
              <w:t>could</w:t>
            </w:r>
            <w:proofErr w:type="spellEnd"/>
            <w:r w:rsidRPr="00902076">
              <w:rPr>
                <w:rFonts w:cs="Times New Roman"/>
              </w:rPr>
              <w:t xml:space="preserve"> </w:t>
            </w:r>
            <w:proofErr w:type="spellStart"/>
            <w:r w:rsidRPr="00902076">
              <w:rPr>
                <w:rFonts w:cs="Times New Roman"/>
              </w:rPr>
              <w:t>accelerate</w:t>
            </w:r>
            <w:proofErr w:type="spellEnd"/>
            <w:r w:rsidRPr="00902076">
              <w:rPr>
                <w:rFonts w:cs="Times New Roman"/>
              </w:rPr>
              <w:t xml:space="preserve"> </w:t>
            </w:r>
            <w:proofErr w:type="spellStart"/>
            <w:r w:rsidRPr="00902076">
              <w:rPr>
                <w:rFonts w:cs="Times New Roman"/>
              </w:rPr>
              <w:t>poverty</w:t>
            </w:r>
            <w:proofErr w:type="spellEnd"/>
            <w:r w:rsidRPr="00902076">
              <w:rPr>
                <w:rFonts w:cs="Times New Roman"/>
              </w:rPr>
              <w:t xml:space="preserve"> </w:t>
            </w:r>
            <w:proofErr w:type="spellStart"/>
            <w:r w:rsidRPr="00902076">
              <w:rPr>
                <w:rFonts w:cs="Times New Roman"/>
              </w:rPr>
              <w:t>reduction</w:t>
            </w:r>
            <w:proofErr w:type="spellEnd"/>
            <w:r w:rsidRPr="00902076">
              <w:rPr>
                <w:rFonts w:cs="Times New Roman"/>
              </w:rPr>
              <w:t xml:space="preserve">. </w:t>
            </w:r>
            <w:proofErr w:type="spellStart"/>
            <w:r w:rsidRPr="00902076">
              <w:rPr>
                <w:rFonts w:cs="Times New Roman"/>
              </w:rPr>
              <w:t>This</w:t>
            </w:r>
            <w:proofErr w:type="spellEnd"/>
            <w:r w:rsidRPr="00902076">
              <w:rPr>
                <w:rFonts w:cs="Times New Roman"/>
              </w:rPr>
              <w:t xml:space="preserve"> </w:t>
            </w:r>
            <w:proofErr w:type="spellStart"/>
            <w:r w:rsidRPr="00902076">
              <w:rPr>
                <w:rFonts w:cs="Times New Roman"/>
              </w:rPr>
              <w:t>process</w:t>
            </w:r>
            <w:proofErr w:type="spellEnd"/>
            <w:r w:rsidRPr="00902076">
              <w:rPr>
                <w:rFonts w:cs="Times New Roman"/>
              </w:rPr>
              <w:t xml:space="preserve"> </w:t>
            </w:r>
            <w:proofErr w:type="spellStart"/>
            <w:r w:rsidRPr="00902076">
              <w:rPr>
                <w:rFonts w:cs="Times New Roman"/>
              </w:rPr>
              <w:t>starts</w:t>
            </w:r>
            <w:proofErr w:type="spellEnd"/>
            <w:r w:rsidRPr="00902076">
              <w:rPr>
                <w:rFonts w:cs="Times New Roman"/>
              </w:rPr>
              <w:t xml:space="preserve"> </w:t>
            </w:r>
            <w:proofErr w:type="spellStart"/>
            <w:r w:rsidRPr="00902076">
              <w:rPr>
                <w:rFonts w:cs="Times New Roman"/>
              </w:rPr>
              <w:t>by</w:t>
            </w:r>
            <w:proofErr w:type="spellEnd"/>
            <w:r w:rsidRPr="00902076">
              <w:rPr>
                <w:rFonts w:cs="Times New Roman"/>
              </w:rPr>
              <w:t xml:space="preserve"> </w:t>
            </w:r>
            <w:proofErr w:type="spellStart"/>
            <w:r w:rsidRPr="00902076">
              <w:rPr>
                <w:rFonts w:cs="Times New Roman"/>
              </w:rPr>
              <w:t>increasing</w:t>
            </w:r>
            <w:proofErr w:type="spellEnd"/>
            <w:r w:rsidRPr="00902076">
              <w:rPr>
                <w:rFonts w:cs="Times New Roman"/>
              </w:rPr>
              <w:t xml:space="preserve"> </w:t>
            </w:r>
            <w:proofErr w:type="spellStart"/>
            <w:r w:rsidRPr="00902076">
              <w:rPr>
                <w:rFonts w:cs="Times New Roman"/>
              </w:rPr>
              <w:t>the</w:t>
            </w:r>
            <w:proofErr w:type="spellEnd"/>
            <w:r w:rsidRPr="00902076">
              <w:rPr>
                <w:rFonts w:cs="Times New Roman"/>
              </w:rPr>
              <w:t xml:space="preserve"> </w:t>
            </w:r>
            <w:proofErr w:type="spellStart"/>
            <w:r w:rsidRPr="00902076">
              <w:rPr>
                <w:rFonts w:cs="Times New Roman"/>
              </w:rPr>
              <w:t>productivity</w:t>
            </w:r>
            <w:proofErr w:type="spellEnd"/>
            <w:r w:rsidRPr="00902076">
              <w:rPr>
                <w:rFonts w:cs="Times New Roman"/>
              </w:rPr>
              <w:t xml:space="preserve"> </w:t>
            </w:r>
            <w:proofErr w:type="spellStart"/>
            <w:r w:rsidRPr="00902076">
              <w:rPr>
                <w:rFonts w:cs="Times New Roman"/>
              </w:rPr>
              <w:t>of</w:t>
            </w:r>
            <w:proofErr w:type="spellEnd"/>
            <w:r w:rsidRPr="00902076">
              <w:rPr>
                <w:rFonts w:cs="Times New Roman"/>
              </w:rPr>
              <w:t xml:space="preserve"> </w:t>
            </w:r>
            <w:proofErr w:type="spellStart"/>
            <w:r w:rsidRPr="00902076">
              <w:rPr>
                <w:rFonts w:cs="Times New Roman"/>
              </w:rPr>
              <w:t>agriculture</w:t>
            </w:r>
            <w:proofErr w:type="spellEnd"/>
            <w:r w:rsidRPr="00902076">
              <w:rPr>
                <w:rFonts w:cs="Times New Roman"/>
              </w:rPr>
              <w:t xml:space="preserve"> (</w:t>
            </w:r>
            <w:proofErr w:type="spellStart"/>
            <w:r w:rsidRPr="00902076">
              <w:rPr>
                <w:rFonts w:cs="Times New Roman"/>
              </w:rPr>
              <w:t>food</w:t>
            </w:r>
            <w:proofErr w:type="spellEnd"/>
            <w:r w:rsidRPr="00902076">
              <w:rPr>
                <w:rFonts w:cs="Times New Roman"/>
              </w:rPr>
              <w:t xml:space="preserve"> </w:t>
            </w:r>
            <w:proofErr w:type="spellStart"/>
            <w:r w:rsidRPr="00902076">
              <w:rPr>
                <w:rFonts w:cs="Times New Roman"/>
              </w:rPr>
              <w:t>stapes</w:t>
            </w:r>
            <w:proofErr w:type="spellEnd"/>
            <w:r w:rsidRPr="00902076">
              <w:rPr>
                <w:rFonts w:cs="Times New Roman"/>
              </w:rPr>
              <w:t xml:space="preserve"> in particular) and </w:t>
            </w:r>
            <w:proofErr w:type="spellStart"/>
            <w:r w:rsidRPr="00902076">
              <w:rPr>
                <w:rFonts w:cs="Times New Roman"/>
              </w:rPr>
              <w:t>livestock</w:t>
            </w:r>
            <w:proofErr w:type="spellEnd"/>
            <w:r w:rsidRPr="00902076">
              <w:rPr>
                <w:rFonts w:cs="Times New Roman"/>
              </w:rPr>
              <w:t xml:space="preserve"> </w:t>
            </w:r>
            <w:proofErr w:type="spellStart"/>
            <w:r w:rsidRPr="00902076">
              <w:rPr>
                <w:rFonts w:cs="Times New Roman"/>
              </w:rPr>
              <w:t>rearing</w:t>
            </w:r>
            <w:proofErr w:type="spellEnd"/>
            <w:r w:rsidRPr="00902076">
              <w:rPr>
                <w:rFonts w:cs="Times New Roman"/>
              </w:rPr>
              <w:t xml:space="preserve">. </w:t>
            </w:r>
            <w:proofErr w:type="spellStart"/>
            <w:r w:rsidRPr="00902076">
              <w:rPr>
                <w:rFonts w:cs="Times New Roman"/>
              </w:rPr>
              <w:t>Increases</w:t>
            </w:r>
            <w:proofErr w:type="spellEnd"/>
            <w:r w:rsidRPr="00902076">
              <w:rPr>
                <w:rFonts w:cs="Times New Roman"/>
              </w:rPr>
              <w:t xml:space="preserve"> in </w:t>
            </w:r>
            <w:proofErr w:type="spellStart"/>
            <w:r w:rsidRPr="00902076">
              <w:rPr>
                <w:rFonts w:cs="Times New Roman"/>
              </w:rPr>
              <w:t>agricultural</w:t>
            </w:r>
            <w:proofErr w:type="spellEnd"/>
            <w:r w:rsidRPr="00902076">
              <w:rPr>
                <w:rFonts w:cs="Times New Roman"/>
              </w:rPr>
              <w:t xml:space="preserve"> </w:t>
            </w:r>
            <w:proofErr w:type="spellStart"/>
            <w:r w:rsidRPr="00902076">
              <w:rPr>
                <w:rFonts w:cs="Times New Roman"/>
              </w:rPr>
              <w:t>production</w:t>
            </w:r>
            <w:proofErr w:type="spellEnd"/>
            <w:r w:rsidRPr="00902076">
              <w:rPr>
                <w:rFonts w:cs="Times New Roman"/>
              </w:rPr>
              <w:t xml:space="preserve"> </w:t>
            </w:r>
            <w:proofErr w:type="spellStart"/>
            <w:r w:rsidRPr="00902076">
              <w:rPr>
                <w:rFonts w:cs="Times New Roman"/>
              </w:rPr>
              <w:t>help</w:t>
            </w:r>
            <w:proofErr w:type="spellEnd"/>
            <w:r w:rsidRPr="00902076">
              <w:rPr>
                <w:rFonts w:cs="Times New Roman"/>
              </w:rPr>
              <w:t xml:space="preserve"> </w:t>
            </w:r>
            <w:proofErr w:type="spellStart"/>
            <w:r w:rsidRPr="00902076">
              <w:rPr>
                <w:rFonts w:cs="Times New Roman"/>
              </w:rPr>
              <w:t>suppress</w:t>
            </w:r>
            <w:proofErr w:type="spellEnd"/>
            <w:r w:rsidRPr="00902076">
              <w:rPr>
                <w:rFonts w:cs="Times New Roman"/>
              </w:rPr>
              <w:t xml:space="preserve"> </w:t>
            </w:r>
            <w:proofErr w:type="spellStart"/>
            <w:r w:rsidRPr="00902076">
              <w:rPr>
                <w:rFonts w:cs="Times New Roman"/>
              </w:rPr>
              <w:t>fluctuations</w:t>
            </w:r>
            <w:proofErr w:type="spellEnd"/>
            <w:r w:rsidRPr="00902076">
              <w:rPr>
                <w:rFonts w:cs="Times New Roman"/>
              </w:rPr>
              <w:t xml:space="preserve"> in </w:t>
            </w:r>
            <w:proofErr w:type="spellStart"/>
            <w:r w:rsidRPr="00902076">
              <w:rPr>
                <w:rFonts w:cs="Times New Roman"/>
              </w:rPr>
              <w:t>food</w:t>
            </w:r>
            <w:proofErr w:type="spellEnd"/>
            <w:r w:rsidRPr="00902076">
              <w:rPr>
                <w:rFonts w:cs="Times New Roman"/>
              </w:rPr>
              <w:t xml:space="preserve"> </w:t>
            </w:r>
            <w:proofErr w:type="spellStart"/>
            <w:r w:rsidRPr="00902076">
              <w:rPr>
                <w:rFonts w:cs="Times New Roman"/>
              </w:rPr>
              <w:t>prices</w:t>
            </w:r>
            <w:proofErr w:type="spellEnd"/>
            <w:r w:rsidRPr="00902076">
              <w:rPr>
                <w:rFonts w:cs="Times New Roman"/>
              </w:rPr>
              <w:t xml:space="preserve">, </w:t>
            </w:r>
            <w:proofErr w:type="spellStart"/>
            <w:r w:rsidRPr="00902076">
              <w:rPr>
                <w:rFonts w:cs="Times New Roman"/>
              </w:rPr>
              <w:t>which</w:t>
            </w:r>
            <w:proofErr w:type="spellEnd"/>
            <w:r w:rsidRPr="00902076">
              <w:rPr>
                <w:rFonts w:cs="Times New Roman"/>
              </w:rPr>
              <w:t xml:space="preserve"> </w:t>
            </w:r>
            <w:proofErr w:type="spellStart"/>
            <w:r w:rsidRPr="00902076">
              <w:rPr>
                <w:rFonts w:cs="Times New Roman"/>
              </w:rPr>
              <w:t>is</w:t>
            </w:r>
            <w:proofErr w:type="spellEnd"/>
            <w:r w:rsidRPr="00902076">
              <w:rPr>
                <w:rFonts w:cs="Times New Roman"/>
              </w:rPr>
              <w:t xml:space="preserve"> </w:t>
            </w:r>
            <w:proofErr w:type="spellStart"/>
            <w:r w:rsidRPr="00902076">
              <w:rPr>
                <w:rFonts w:cs="Times New Roman"/>
              </w:rPr>
              <w:t>good</w:t>
            </w:r>
            <w:proofErr w:type="spellEnd"/>
            <w:r w:rsidRPr="00902076">
              <w:rPr>
                <w:rFonts w:cs="Times New Roman"/>
              </w:rPr>
              <w:t xml:space="preserve"> </w:t>
            </w:r>
            <w:proofErr w:type="spellStart"/>
            <w:r w:rsidRPr="00902076">
              <w:rPr>
                <w:rFonts w:cs="Times New Roman"/>
              </w:rPr>
              <w:t>for</w:t>
            </w:r>
            <w:proofErr w:type="spellEnd"/>
            <w:r w:rsidRPr="00902076">
              <w:rPr>
                <w:rFonts w:cs="Times New Roman"/>
              </w:rPr>
              <w:t xml:space="preserve"> </w:t>
            </w:r>
            <w:proofErr w:type="spellStart"/>
            <w:r w:rsidRPr="00902076">
              <w:rPr>
                <w:rFonts w:cs="Times New Roman"/>
              </w:rPr>
              <w:t>the</w:t>
            </w:r>
            <w:proofErr w:type="spellEnd"/>
            <w:r w:rsidRPr="00902076">
              <w:rPr>
                <w:rFonts w:cs="Times New Roman"/>
              </w:rPr>
              <w:t xml:space="preserve"> </w:t>
            </w:r>
            <w:proofErr w:type="spellStart"/>
            <w:r w:rsidRPr="00902076">
              <w:rPr>
                <w:rFonts w:cs="Times New Roman"/>
              </w:rPr>
              <w:t>poorest</w:t>
            </w:r>
            <w:proofErr w:type="spellEnd"/>
            <w:r w:rsidRPr="00902076">
              <w:rPr>
                <w:rFonts w:cs="Times New Roman"/>
              </w:rPr>
              <w:t xml:space="preserve"> </w:t>
            </w:r>
            <w:proofErr w:type="spellStart"/>
            <w:r w:rsidRPr="00902076">
              <w:rPr>
                <w:rFonts w:cs="Times New Roman"/>
              </w:rPr>
              <w:t>who</w:t>
            </w:r>
            <w:proofErr w:type="spellEnd"/>
            <w:r w:rsidRPr="00902076">
              <w:rPr>
                <w:rFonts w:cs="Times New Roman"/>
              </w:rPr>
              <w:t xml:space="preserve"> </w:t>
            </w:r>
            <w:proofErr w:type="spellStart"/>
            <w:r w:rsidRPr="00902076">
              <w:rPr>
                <w:rFonts w:cs="Times New Roman"/>
              </w:rPr>
              <w:t>tend</w:t>
            </w:r>
            <w:proofErr w:type="spellEnd"/>
            <w:r w:rsidRPr="00902076">
              <w:rPr>
                <w:rFonts w:cs="Times New Roman"/>
              </w:rPr>
              <w:t xml:space="preserve"> </w:t>
            </w:r>
            <w:proofErr w:type="spellStart"/>
            <w:r w:rsidRPr="00902076">
              <w:rPr>
                <w:rFonts w:cs="Times New Roman"/>
              </w:rPr>
              <w:t>to</w:t>
            </w:r>
            <w:proofErr w:type="spellEnd"/>
            <w:r w:rsidRPr="00902076">
              <w:rPr>
                <w:rFonts w:cs="Times New Roman"/>
              </w:rPr>
              <w:t xml:space="preserve"> be net </w:t>
            </w:r>
            <w:proofErr w:type="spellStart"/>
            <w:r w:rsidRPr="00902076">
              <w:rPr>
                <w:rFonts w:cs="Times New Roman"/>
              </w:rPr>
              <w:t>buyers</w:t>
            </w:r>
            <w:proofErr w:type="spellEnd"/>
            <w:r w:rsidRPr="00902076">
              <w:rPr>
                <w:rFonts w:cs="Times New Roman"/>
              </w:rPr>
              <w:t xml:space="preserve"> </w:t>
            </w:r>
            <w:proofErr w:type="spellStart"/>
            <w:r w:rsidRPr="00902076">
              <w:rPr>
                <w:rFonts w:cs="Times New Roman"/>
              </w:rPr>
              <w:t>of</w:t>
            </w:r>
            <w:proofErr w:type="spellEnd"/>
            <w:r w:rsidRPr="00902076">
              <w:rPr>
                <w:rFonts w:cs="Times New Roman"/>
              </w:rPr>
              <w:t xml:space="preserve"> </w:t>
            </w:r>
            <w:proofErr w:type="spellStart"/>
            <w:r w:rsidRPr="00902076">
              <w:rPr>
                <w:rFonts w:cs="Times New Roman"/>
              </w:rPr>
              <w:t>food</w:t>
            </w:r>
            <w:proofErr w:type="spellEnd"/>
            <w:r w:rsidRPr="00902076">
              <w:rPr>
                <w:rFonts w:cs="Times New Roman"/>
              </w:rPr>
              <w:t xml:space="preserve">. Once </w:t>
            </w:r>
            <w:proofErr w:type="spellStart"/>
            <w:r w:rsidRPr="00902076">
              <w:rPr>
                <w:rFonts w:cs="Times New Roman"/>
              </w:rPr>
              <w:t>the</w:t>
            </w:r>
            <w:proofErr w:type="spellEnd"/>
            <w:r w:rsidRPr="00902076">
              <w:rPr>
                <w:rFonts w:cs="Times New Roman"/>
              </w:rPr>
              <w:t xml:space="preserve"> share </w:t>
            </w:r>
            <w:proofErr w:type="spellStart"/>
            <w:r w:rsidRPr="00902076">
              <w:rPr>
                <w:rFonts w:cs="Times New Roman"/>
              </w:rPr>
              <w:t>of</w:t>
            </w:r>
            <w:proofErr w:type="spellEnd"/>
            <w:r w:rsidRPr="00902076">
              <w:rPr>
                <w:rFonts w:cs="Times New Roman"/>
              </w:rPr>
              <w:t xml:space="preserve"> </w:t>
            </w:r>
            <w:proofErr w:type="spellStart"/>
            <w:r w:rsidRPr="00902076">
              <w:rPr>
                <w:rFonts w:cs="Times New Roman"/>
              </w:rPr>
              <w:t>food</w:t>
            </w:r>
            <w:proofErr w:type="spellEnd"/>
            <w:r w:rsidRPr="00902076">
              <w:rPr>
                <w:rFonts w:cs="Times New Roman"/>
              </w:rPr>
              <w:t xml:space="preserve"> </w:t>
            </w:r>
            <w:proofErr w:type="spellStart"/>
            <w:r w:rsidRPr="00902076">
              <w:rPr>
                <w:rFonts w:cs="Times New Roman"/>
              </w:rPr>
              <w:t>consumers</w:t>
            </w:r>
            <w:proofErr w:type="spellEnd"/>
            <w:r w:rsidRPr="00902076">
              <w:rPr>
                <w:rFonts w:cs="Times New Roman"/>
              </w:rPr>
              <w:t xml:space="preserve"> </w:t>
            </w:r>
            <w:proofErr w:type="spellStart"/>
            <w:r w:rsidRPr="00902076">
              <w:rPr>
                <w:rFonts w:cs="Times New Roman"/>
              </w:rPr>
              <w:t>relative</w:t>
            </w:r>
            <w:proofErr w:type="spellEnd"/>
            <w:r w:rsidRPr="00902076">
              <w:rPr>
                <w:rFonts w:cs="Times New Roman"/>
              </w:rPr>
              <w:t xml:space="preserve"> </w:t>
            </w:r>
            <w:proofErr w:type="spellStart"/>
            <w:r w:rsidRPr="00902076">
              <w:rPr>
                <w:rFonts w:cs="Times New Roman"/>
              </w:rPr>
              <w:t>to</w:t>
            </w:r>
            <w:proofErr w:type="spellEnd"/>
            <w:r w:rsidRPr="00902076">
              <w:rPr>
                <w:rFonts w:cs="Times New Roman"/>
              </w:rPr>
              <w:t xml:space="preserve"> </w:t>
            </w:r>
            <w:proofErr w:type="spellStart"/>
            <w:r w:rsidRPr="00902076">
              <w:rPr>
                <w:rFonts w:cs="Times New Roman"/>
              </w:rPr>
              <w:t>food</w:t>
            </w:r>
            <w:proofErr w:type="spellEnd"/>
            <w:r w:rsidRPr="00902076">
              <w:rPr>
                <w:rFonts w:cs="Times New Roman"/>
              </w:rPr>
              <w:t xml:space="preserve"> </w:t>
            </w:r>
            <w:proofErr w:type="spellStart"/>
            <w:r w:rsidRPr="00902076">
              <w:rPr>
                <w:rFonts w:cs="Times New Roman"/>
              </w:rPr>
              <w:t>producers</w:t>
            </w:r>
            <w:proofErr w:type="spellEnd"/>
            <w:r w:rsidRPr="00902076">
              <w:rPr>
                <w:rFonts w:cs="Times New Roman"/>
              </w:rPr>
              <w:t xml:space="preserve"> </w:t>
            </w:r>
            <w:proofErr w:type="spellStart"/>
            <w:r w:rsidRPr="00902076">
              <w:rPr>
                <w:rFonts w:cs="Times New Roman"/>
              </w:rPr>
              <w:t>grows</w:t>
            </w:r>
            <w:proofErr w:type="spellEnd"/>
            <w:r w:rsidRPr="00902076">
              <w:rPr>
                <w:rFonts w:cs="Times New Roman"/>
              </w:rPr>
              <w:t xml:space="preserve"> (</w:t>
            </w:r>
            <w:proofErr w:type="spellStart"/>
            <w:r w:rsidRPr="00902076">
              <w:rPr>
                <w:rFonts w:cs="Times New Roman"/>
              </w:rPr>
              <w:t>because</w:t>
            </w:r>
            <w:proofErr w:type="spellEnd"/>
            <w:r w:rsidRPr="00902076">
              <w:rPr>
                <w:rFonts w:cs="Times New Roman"/>
              </w:rPr>
              <w:t xml:space="preserve"> </w:t>
            </w:r>
            <w:proofErr w:type="spellStart"/>
            <w:r w:rsidRPr="00902076">
              <w:rPr>
                <w:rFonts w:cs="Times New Roman"/>
              </w:rPr>
              <w:t>of</w:t>
            </w:r>
            <w:proofErr w:type="spellEnd"/>
            <w:r w:rsidRPr="00902076">
              <w:rPr>
                <w:rFonts w:cs="Times New Roman"/>
              </w:rPr>
              <w:t xml:space="preserve"> rural-</w:t>
            </w:r>
            <w:proofErr w:type="spellStart"/>
            <w:r w:rsidRPr="00902076">
              <w:rPr>
                <w:rFonts w:cs="Times New Roman"/>
              </w:rPr>
              <w:t>urban</w:t>
            </w:r>
            <w:proofErr w:type="spellEnd"/>
            <w:r w:rsidRPr="00902076">
              <w:rPr>
                <w:rFonts w:cs="Times New Roman"/>
              </w:rPr>
              <w:t xml:space="preserve"> </w:t>
            </w:r>
            <w:proofErr w:type="spellStart"/>
            <w:r w:rsidRPr="00902076">
              <w:rPr>
                <w:rFonts w:cs="Times New Roman"/>
              </w:rPr>
              <w:t>migration</w:t>
            </w:r>
            <w:proofErr w:type="spellEnd"/>
            <w:r w:rsidRPr="00902076">
              <w:rPr>
                <w:rFonts w:cs="Times New Roman"/>
              </w:rPr>
              <w:t xml:space="preserve">), </w:t>
            </w:r>
            <w:proofErr w:type="spellStart"/>
            <w:r w:rsidRPr="00902076">
              <w:rPr>
                <w:rFonts w:cs="Times New Roman"/>
              </w:rPr>
              <w:t>markets</w:t>
            </w:r>
            <w:proofErr w:type="spellEnd"/>
            <w:r w:rsidRPr="00902076">
              <w:rPr>
                <w:rFonts w:cs="Times New Roman"/>
              </w:rPr>
              <w:t xml:space="preserve"> </w:t>
            </w:r>
            <w:proofErr w:type="spellStart"/>
            <w:r w:rsidRPr="00902076">
              <w:rPr>
                <w:rFonts w:cs="Times New Roman"/>
              </w:rPr>
              <w:t>become</w:t>
            </w:r>
            <w:proofErr w:type="spellEnd"/>
            <w:r w:rsidRPr="00902076">
              <w:rPr>
                <w:rFonts w:cs="Times New Roman"/>
              </w:rPr>
              <w:t xml:space="preserve"> more </w:t>
            </w:r>
            <w:proofErr w:type="spellStart"/>
            <w:r w:rsidRPr="00902076">
              <w:rPr>
                <w:rFonts w:cs="Times New Roman"/>
              </w:rPr>
              <w:t>important</w:t>
            </w:r>
            <w:proofErr w:type="spellEnd"/>
            <w:r w:rsidRPr="00902076">
              <w:rPr>
                <w:rFonts w:cs="Times New Roman"/>
              </w:rPr>
              <w:t xml:space="preserve">, </w:t>
            </w:r>
            <w:proofErr w:type="spellStart"/>
            <w:r w:rsidRPr="00902076">
              <w:rPr>
                <w:rFonts w:cs="Times New Roman"/>
              </w:rPr>
              <w:t>the</w:t>
            </w:r>
            <w:proofErr w:type="spellEnd"/>
            <w:r w:rsidRPr="00902076">
              <w:rPr>
                <w:rFonts w:cs="Times New Roman"/>
              </w:rPr>
              <w:t xml:space="preserve"> </w:t>
            </w:r>
            <w:proofErr w:type="spellStart"/>
            <w:r w:rsidRPr="00902076">
              <w:rPr>
                <w:rFonts w:cs="Times New Roman"/>
              </w:rPr>
              <w:t>nonfarm</w:t>
            </w:r>
            <w:proofErr w:type="spellEnd"/>
            <w:r w:rsidRPr="00902076">
              <w:rPr>
                <w:rFonts w:cs="Times New Roman"/>
              </w:rPr>
              <w:t xml:space="preserve"> and </w:t>
            </w:r>
            <w:proofErr w:type="spellStart"/>
            <w:r w:rsidRPr="00902076">
              <w:rPr>
                <w:rFonts w:cs="Times New Roman"/>
              </w:rPr>
              <w:t>agribusiness</w:t>
            </w:r>
            <w:proofErr w:type="spellEnd"/>
            <w:r w:rsidRPr="00902076">
              <w:rPr>
                <w:rFonts w:cs="Times New Roman"/>
              </w:rPr>
              <w:t xml:space="preserve"> </w:t>
            </w:r>
            <w:proofErr w:type="spellStart"/>
            <w:r w:rsidRPr="00902076">
              <w:rPr>
                <w:rFonts w:cs="Times New Roman"/>
              </w:rPr>
              <w:t>sectors</w:t>
            </w:r>
            <w:proofErr w:type="spellEnd"/>
            <w:r w:rsidRPr="00902076">
              <w:rPr>
                <w:rFonts w:cs="Times New Roman"/>
              </w:rPr>
              <w:t xml:space="preserve"> </w:t>
            </w:r>
            <w:proofErr w:type="spellStart"/>
            <w:r w:rsidRPr="00902076">
              <w:rPr>
                <w:rFonts w:cs="Times New Roman"/>
              </w:rPr>
              <w:t>grow</w:t>
            </w:r>
            <w:proofErr w:type="spellEnd"/>
            <w:r w:rsidRPr="00902076">
              <w:rPr>
                <w:rFonts w:cs="Times New Roman"/>
              </w:rPr>
              <w:t xml:space="preserve">, and </w:t>
            </w:r>
            <w:proofErr w:type="spellStart"/>
            <w:r w:rsidRPr="00902076">
              <w:rPr>
                <w:rFonts w:cs="Times New Roman"/>
              </w:rPr>
              <w:t>the</w:t>
            </w:r>
            <w:proofErr w:type="spellEnd"/>
            <w:r w:rsidRPr="00902076">
              <w:rPr>
                <w:rFonts w:cs="Times New Roman"/>
              </w:rPr>
              <w:t xml:space="preserve"> </w:t>
            </w:r>
            <w:proofErr w:type="spellStart"/>
            <w:r w:rsidRPr="00902076">
              <w:rPr>
                <w:rFonts w:cs="Times New Roman"/>
              </w:rPr>
              <w:t>food</w:t>
            </w:r>
            <w:proofErr w:type="spellEnd"/>
            <w:r w:rsidRPr="00902076">
              <w:rPr>
                <w:rFonts w:cs="Times New Roman"/>
              </w:rPr>
              <w:t xml:space="preserve"> </w:t>
            </w:r>
            <w:proofErr w:type="spellStart"/>
            <w:r w:rsidRPr="00902076">
              <w:rPr>
                <w:rFonts w:cs="Times New Roman"/>
              </w:rPr>
              <w:t>value</w:t>
            </w:r>
            <w:proofErr w:type="spellEnd"/>
            <w:r w:rsidRPr="00902076">
              <w:rPr>
                <w:rFonts w:cs="Times New Roman"/>
              </w:rPr>
              <w:t xml:space="preserve"> </w:t>
            </w:r>
            <w:proofErr w:type="spellStart"/>
            <w:r w:rsidRPr="00902076">
              <w:rPr>
                <w:rFonts w:cs="Times New Roman"/>
              </w:rPr>
              <w:t>chain</w:t>
            </w:r>
            <w:proofErr w:type="spellEnd"/>
            <w:r w:rsidRPr="00902076">
              <w:rPr>
                <w:rFonts w:cs="Times New Roman"/>
              </w:rPr>
              <w:t xml:space="preserve"> and rural-</w:t>
            </w:r>
            <w:proofErr w:type="spellStart"/>
            <w:r w:rsidRPr="00902076">
              <w:rPr>
                <w:rFonts w:cs="Times New Roman"/>
              </w:rPr>
              <w:t>urban</w:t>
            </w:r>
            <w:proofErr w:type="spellEnd"/>
            <w:r w:rsidRPr="00902076">
              <w:rPr>
                <w:rFonts w:cs="Times New Roman"/>
              </w:rPr>
              <w:t xml:space="preserve"> </w:t>
            </w:r>
            <w:proofErr w:type="spellStart"/>
            <w:r w:rsidRPr="00902076">
              <w:rPr>
                <w:rFonts w:cs="Times New Roman"/>
              </w:rPr>
              <w:t>linkages</w:t>
            </w:r>
            <w:proofErr w:type="spellEnd"/>
            <w:r w:rsidRPr="00902076">
              <w:rPr>
                <w:rFonts w:cs="Times New Roman"/>
              </w:rPr>
              <w:t xml:space="preserve"> are </w:t>
            </w:r>
            <w:proofErr w:type="spellStart"/>
            <w:r w:rsidRPr="00902076">
              <w:rPr>
                <w:rFonts w:cs="Times New Roman"/>
              </w:rPr>
              <w:t>strengthened</w:t>
            </w:r>
            <w:proofErr w:type="spellEnd"/>
            <w:r w:rsidRPr="00902076">
              <w:rPr>
                <w:rFonts w:cs="Times New Roman"/>
              </w:rPr>
              <w:t xml:space="preserve">. As rural </w:t>
            </w:r>
            <w:proofErr w:type="spellStart"/>
            <w:r w:rsidRPr="00902076">
              <w:rPr>
                <w:rFonts w:cs="Times New Roman"/>
              </w:rPr>
              <w:t>incomes</w:t>
            </w:r>
            <w:proofErr w:type="spellEnd"/>
            <w:r w:rsidRPr="00902076">
              <w:rPr>
                <w:rFonts w:cs="Times New Roman"/>
              </w:rPr>
              <w:t xml:space="preserve"> </w:t>
            </w:r>
            <w:proofErr w:type="spellStart"/>
            <w:r w:rsidRPr="00902076">
              <w:rPr>
                <w:rFonts w:cs="Times New Roman"/>
              </w:rPr>
              <w:t>grow</w:t>
            </w:r>
            <w:proofErr w:type="spellEnd"/>
            <w:r w:rsidRPr="00902076">
              <w:rPr>
                <w:rFonts w:cs="Times New Roman"/>
              </w:rPr>
              <w:t xml:space="preserve">, </w:t>
            </w:r>
            <w:proofErr w:type="spellStart"/>
            <w:r w:rsidRPr="00902076">
              <w:rPr>
                <w:rFonts w:cs="Times New Roman"/>
              </w:rPr>
              <w:t>second-order</w:t>
            </w:r>
            <w:proofErr w:type="spellEnd"/>
            <w:r w:rsidRPr="00902076">
              <w:rPr>
                <w:rFonts w:cs="Times New Roman"/>
              </w:rPr>
              <w:t xml:space="preserve"> </w:t>
            </w:r>
            <w:proofErr w:type="spellStart"/>
            <w:r w:rsidRPr="00902076">
              <w:rPr>
                <w:rFonts w:cs="Times New Roman"/>
              </w:rPr>
              <w:t>effects</w:t>
            </w:r>
            <w:proofErr w:type="spellEnd"/>
            <w:r w:rsidRPr="00902076">
              <w:rPr>
                <w:rFonts w:cs="Times New Roman"/>
              </w:rPr>
              <w:t xml:space="preserve"> are </w:t>
            </w:r>
            <w:proofErr w:type="spellStart"/>
            <w:r w:rsidRPr="00902076">
              <w:rPr>
                <w:rFonts w:cs="Times New Roman"/>
              </w:rPr>
              <w:t>likely</w:t>
            </w:r>
            <w:proofErr w:type="spellEnd"/>
            <w:r w:rsidRPr="00902076">
              <w:rPr>
                <w:rFonts w:cs="Times New Roman"/>
              </w:rPr>
              <w:t xml:space="preserve"> </w:t>
            </w:r>
            <w:proofErr w:type="spellStart"/>
            <w:r w:rsidRPr="00902076">
              <w:rPr>
                <w:rFonts w:cs="Times New Roman"/>
              </w:rPr>
              <w:t>to</w:t>
            </w:r>
            <w:proofErr w:type="spellEnd"/>
            <w:r w:rsidRPr="00902076">
              <w:rPr>
                <w:rFonts w:cs="Times New Roman"/>
              </w:rPr>
              <w:t xml:space="preserve"> emerge: </w:t>
            </w:r>
            <w:proofErr w:type="spellStart"/>
            <w:r w:rsidRPr="00902076">
              <w:rPr>
                <w:rFonts w:cs="Times New Roman"/>
              </w:rPr>
              <w:t>the</w:t>
            </w:r>
            <w:proofErr w:type="spellEnd"/>
            <w:r w:rsidRPr="00902076">
              <w:rPr>
                <w:rFonts w:cs="Times New Roman"/>
              </w:rPr>
              <w:t xml:space="preserve"> stock </w:t>
            </w:r>
            <w:proofErr w:type="spellStart"/>
            <w:r w:rsidRPr="00902076">
              <w:rPr>
                <w:rFonts w:cs="Times New Roman"/>
              </w:rPr>
              <w:t>of</w:t>
            </w:r>
            <w:proofErr w:type="spellEnd"/>
            <w:r w:rsidRPr="00902076">
              <w:rPr>
                <w:rFonts w:cs="Times New Roman"/>
              </w:rPr>
              <w:t xml:space="preserve"> human and </w:t>
            </w:r>
            <w:proofErr w:type="spellStart"/>
            <w:r w:rsidRPr="00902076">
              <w:rPr>
                <w:rFonts w:cs="Times New Roman"/>
              </w:rPr>
              <w:t>physical</w:t>
            </w:r>
            <w:proofErr w:type="spellEnd"/>
            <w:r w:rsidRPr="00902076">
              <w:rPr>
                <w:rFonts w:cs="Times New Roman"/>
              </w:rPr>
              <w:t xml:space="preserve"> capital </w:t>
            </w:r>
            <w:proofErr w:type="spellStart"/>
            <w:r w:rsidRPr="00902076">
              <w:rPr>
                <w:rFonts w:cs="Times New Roman"/>
              </w:rPr>
              <w:t>increases</w:t>
            </w:r>
            <w:proofErr w:type="spellEnd"/>
            <w:r w:rsidRPr="00902076">
              <w:rPr>
                <w:rFonts w:cs="Times New Roman"/>
              </w:rPr>
              <w:t xml:space="preserve"> as </w:t>
            </w:r>
            <w:proofErr w:type="spellStart"/>
            <w:r w:rsidRPr="00902076">
              <w:rPr>
                <w:rFonts w:cs="Times New Roman"/>
              </w:rPr>
              <w:t>households</w:t>
            </w:r>
            <w:proofErr w:type="spellEnd"/>
            <w:r w:rsidRPr="00902076">
              <w:rPr>
                <w:rFonts w:cs="Times New Roman"/>
              </w:rPr>
              <w:t xml:space="preserve"> </w:t>
            </w:r>
            <w:proofErr w:type="spellStart"/>
            <w:r w:rsidRPr="00902076">
              <w:rPr>
                <w:rFonts w:cs="Times New Roman"/>
              </w:rPr>
              <w:t>invest</w:t>
            </w:r>
            <w:proofErr w:type="spellEnd"/>
            <w:r w:rsidRPr="00902076">
              <w:rPr>
                <w:rFonts w:cs="Times New Roman"/>
              </w:rPr>
              <w:t xml:space="preserve"> </w:t>
            </w:r>
            <w:proofErr w:type="spellStart"/>
            <w:r w:rsidRPr="00902076">
              <w:rPr>
                <w:rFonts w:cs="Times New Roman"/>
              </w:rPr>
              <w:t>part</w:t>
            </w:r>
            <w:proofErr w:type="spellEnd"/>
            <w:r w:rsidRPr="00902076">
              <w:rPr>
                <w:rFonts w:cs="Times New Roman"/>
              </w:rPr>
              <w:t xml:space="preserve"> </w:t>
            </w:r>
            <w:proofErr w:type="spellStart"/>
            <w:r w:rsidRPr="00902076">
              <w:rPr>
                <w:rFonts w:cs="Times New Roman"/>
              </w:rPr>
              <w:t>of</w:t>
            </w:r>
            <w:proofErr w:type="spellEnd"/>
            <w:r w:rsidRPr="00902076">
              <w:rPr>
                <w:rFonts w:cs="Times New Roman"/>
              </w:rPr>
              <w:t xml:space="preserve"> </w:t>
            </w:r>
            <w:proofErr w:type="spellStart"/>
            <w:r w:rsidRPr="00902076">
              <w:rPr>
                <w:rFonts w:cs="Times New Roman"/>
              </w:rPr>
              <w:t>their</w:t>
            </w:r>
            <w:proofErr w:type="spellEnd"/>
            <w:r w:rsidRPr="00902076">
              <w:rPr>
                <w:rFonts w:cs="Times New Roman"/>
              </w:rPr>
              <w:t xml:space="preserve"> </w:t>
            </w:r>
            <w:proofErr w:type="spellStart"/>
            <w:r w:rsidRPr="00902076">
              <w:rPr>
                <w:rFonts w:cs="Times New Roman"/>
              </w:rPr>
              <w:t>increased</w:t>
            </w:r>
            <w:proofErr w:type="spellEnd"/>
            <w:r w:rsidRPr="00902076">
              <w:rPr>
                <w:rFonts w:cs="Times New Roman"/>
              </w:rPr>
              <w:t xml:space="preserve"> </w:t>
            </w:r>
            <w:proofErr w:type="spellStart"/>
            <w:r w:rsidRPr="00902076">
              <w:rPr>
                <w:rFonts w:cs="Times New Roman"/>
              </w:rPr>
              <w:t>incomes</w:t>
            </w:r>
            <w:proofErr w:type="spellEnd"/>
            <w:r w:rsidRPr="00902076">
              <w:rPr>
                <w:rFonts w:cs="Times New Roman"/>
              </w:rPr>
              <w:t xml:space="preserve"> in </w:t>
            </w:r>
            <w:proofErr w:type="spellStart"/>
            <w:r w:rsidRPr="00902076">
              <w:rPr>
                <w:rFonts w:cs="Times New Roman"/>
              </w:rPr>
              <w:t>their</w:t>
            </w:r>
            <w:proofErr w:type="spellEnd"/>
            <w:r w:rsidRPr="00902076">
              <w:rPr>
                <w:rFonts w:cs="Times New Roman"/>
              </w:rPr>
              <w:t xml:space="preserve"> </w:t>
            </w:r>
            <w:proofErr w:type="spellStart"/>
            <w:r w:rsidRPr="00902076">
              <w:rPr>
                <w:rFonts w:cs="Times New Roman"/>
              </w:rPr>
              <w:t>offspring</w:t>
            </w:r>
            <w:proofErr w:type="spellEnd"/>
            <w:r w:rsidRPr="00902076">
              <w:rPr>
                <w:rFonts w:cs="Times New Roman"/>
              </w:rPr>
              <w:t xml:space="preserve">. </w:t>
            </w:r>
            <w:proofErr w:type="spellStart"/>
            <w:r w:rsidRPr="00902076">
              <w:rPr>
                <w:rFonts w:cs="Times New Roman"/>
              </w:rPr>
              <w:t>This</w:t>
            </w:r>
            <w:proofErr w:type="spellEnd"/>
            <w:r w:rsidRPr="00902076">
              <w:rPr>
                <w:rFonts w:cs="Times New Roman"/>
              </w:rPr>
              <w:t xml:space="preserve"> leads </w:t>
            </w:r>
            <w:proofErr w:type="spellStart"/>
            <w:r w:rsidRPr="00902076">
              <w:rPr>
                <w:rFonts w:cs="Times New Roman"/>
              </w:rPr>
              <w:t>to</w:t>
            </w:r>
            <w:proofErr w:type="spellEnd"/>
            <w:r w:rsidRPr="00902076">
              <w:rPr>
                <w:rFonts w:cs="Times New Roman"/>
              </w:rPr>
              <w:t xml:space="preserve"> </w:t>
            </w:r>
            <w:proofErr w:type="spellStart"/>
            <w:r w:rsidRPr="00902076">
              <w:rPr>
                <w:rFonts w:cs="Times New Roman"/>
              </w:rPr>
              <w:t>further</w:t>
            </w:r>
            <w:proofErr w:type="spellEnd"/>
            <w:r w:rsidRPr="00902076">
              <w:rPr>
                <w:rFonts w:cs="Times New Roman"/>
              </w:rPr>
              <w:t xml:space="preserve"> </w:t>
            </w:r>
            <w:proofErr w:type="spellStart"/>
            <w:r w:rsidRPr="00902076">
              <w:rPr>
                <w:rFonts w:cs="Times New Roman"/>
              </w:rPr>
              <w:t>productivity</w:t>
            </w:r>
            <w:proofErr w:type="spellEnd"/>
            <w:r w:rsidRPr="00902076">
              <w:rPr>
                <w:rFonts w:cs="Times New Roman"/>
              </w:rPr>
              <w:t xml:space="preserve"> </w:t>
            </w:r>
            <w:proofErr w:type="spellStart"/>
            <w:r w:rsidRPr="00902076">
              <w:rPr>
                <w:rFonts w:cs="Times New Roman"/>
              </w:rPr>
              <w:t>gains</w:t>
            </w:r>
            <w:proofErr w:type="spellEnd"/>
            <w:r w:rsidRPr="00902076">
              <w:rPr>
                <w:rFonts w:cs="Times New Roman"/>
              </w:rPr>
              <w:t xml:space="preserve"> and </w:t>
            </w:r>
            <w:proofErr w:type="spellStart"/>
            <w:r w:rsidRPr="00902076">
              <w:rPr>
                <w:rFonts w:cs="Times New Roman"/>
              </w:rPr>
              <w:t>to</w:t>
            </w:r>
            <w:proofErr w:type="spellEnd"/>
            <w:r w:rsidRPr="00902076">
              <w:rPr>
                <w:rFonts w:cs="Times New Roman"/>
              </w:rPr>
              <w:t xml:space="preserve"> </w:t>
            </w:r>
            <w:proofErr w:type="spellStart"/>
            <w:r w:rsidRPr="00902076">
              <w:rPr>
                <w:rFonts w:cs="Times New Roman"/>
              </w:rPr>
              <w:t>out-migration</w:t>
            </w:r>
            <w:proofErr w:type="spellEnd"/>
            <w:r w:rsidRPr="00902076">
              <w:rPr>
                <w:rFonts w:cs="Times New Roman"/>
              </w:rPr>
              <w:t xml:space="preserve"> </w:t>
            </w:r>
            <w:proofErr w:type="spellStart"/>
            <w:r w:rsidRPr="00902076">
              <w:rPr>
                <w:rFonts w:cs="Times New Roman"/>
              </w:rPr>
              <w:t>of</w:t>
            </w:r>
            <w:proofErr w:type="spellEnd"/>
            <w:r w:rsidRPr="00902076">
              <w:rPr>
                <w:rFonts w:cs="Times New Roman"/>
              </w:rPr>
              <w:t xml:space="preserve"> (</w:t>
            </w:r>
            <w:proofErr w:type="spellStart"/>
            <w:r w:rsidRPr="00902076">
              <w:rPr>
                <w:rFonts w:cs="Times New Roman"/>
              </w:rPr>
              <w:t>now</w:t>
            </w:r>
            <w:proofErr w:type="spellEnd"/>
            <w:r w:rsidRPr="00902076">
              <w:rPr>
                <w:rFonts w:cs="Times New Roman"/>
              </w:rPr>
              <w:t xml:space="preserve"> </w:t>
            </w:r>
            <w:proofErr w:type="spellStart"/>
            <w:r w:rsidRPr="00902076">
              <w:rPr>
                <w:rFonts w:cs="Times New Roman"/>
              </w:rPr>
              <w:t>better</w:t>
            </w:r>
            <w:proofErr w:type="spellEnd"/>
            <w:r w:rsidRPr="00902076">
              <w:rPr>
                <w:rFonts w:cs="Times New Roman"/>
              </w:rPr>
              <w:t xml:space="preserve">-) </w:t>
            </w:r>
            <w:proofErr w:type="spellStart"/>
            <w:r w:rsidRPr="00902076">
              <w:rPr>
                <w:rFonts w:cs="Times New Roman"/>
              </w:rPr>
              <w:t>educated</w:t>
            </w:r>
            <w:proofErr w:type="spellEnd"/>
            <w:r w:rsidRPr="00902076">
              <w:rPr>
                <w:rFonts w:cs="Times New Roman"/>
              </w:rPr>
              <w:t xml:space="preserve"> </w:t>
            </w:r>
            <w:proofErr w:type="spellStart"/>
            <w:r w:rsidRPr="00902076">
              <w:rPr>
                <w:rFonts w:cs="Times New Roman"/>
              </w:rPr>
              <w:t>people</w:t>
            </w:r>
            <w:proofErr w:type="spellEnd"/>
            <w:r w:rsidRPr="00902076">
              <w:rPr>
                <w:rFonts w:cs="Times New Roman"/>
              </w:rPr>
              <w:t xml:space="preserve">. </w:t>
            </w:r>
            <w:proofErr w:type="spellStart"/>
            <w:r w:rsidRPr="00902076">
              <w:rPr>
                <w:rFonts w:cs="Times New Roman"/>
              </w:rPr>
              <w:t>It</w:t>
            </w:r>
            <w:proofErr w:type="spellEnd"/>
            <w:r w:rsidRPr="00902076">
              <w:rPr>
                <w:rFonts w:cs="Times New Roman"/>
              </w:rPr>
              <w:t xml:space="preserve"> </w:t>
            </w:r>
            <w:proofErr w:type="spellStart"/>
            <w:r w:rsidRPr="00902076">
              <w:rPr>
                <w:rFonts w:cs="Times New Roman"/>
              </w:rPr>
              <w:t>also</w:t>
            </w:r>
            <w:proofErr w:type="spellEnd"/>
            <w:r w:rsidRPr="00902076">
              <w:rPr>
                <w:rFonts w:cs="Times New Roman"/>
              </w:rPr>
              <w:t xml:space="preserve"> </w:t>
            </w:r>
            <w:proofErr w:type="spellStart"/>
            <w:r w:rsidRPr="00902076">
              <w:rPr>
                <w:rFonts w:cs="Times New Roman"/>
              </w:rPr>
              <w:t>unlocks</w:t>
            </w:r>
            <w:proofErr w:type="spellEnd"/>
            <w:r w:rsidRPr="00902076">
              <w:rPr>
                <w:rFonts w:cs="Times New Roman"/>
              </w:rPr>
              <w:t xml:space="preserve"> </w:t>
            </w:r>
            <w:proofErr w:type="spellStart"/>
            <w:r w:rsidRPr="00902076">
              <w:rPr>
                <w:rFonts w:cs="Times New Roman"/>
              </w:rPr>
              <w:t>demographic</w:t>
            </w:r>
            <w:proofErr w:type="spellEnd"/>
            <w:r w:rsidRPr="00902076">
              <w:rPr>
                <w:rFonts w:cs="Times New Roman"/>
              </w:rPr>
              <w:t xml:space="preserve"> </w:t>
            </w:r>
            <w:proofErr w:type="spellStart"/>
            <w:r w:rsidRPr="00902076">
              <w:rPr>
                <w:rFonts w:cs="Times New Roman"/>
              </w:rPr>
              <w:t>transition</w:t>
            </w:r>
            <w:proofErr w:type="spellEnd"/>
            <w:r w:rsidRPr="00902076">
              <w:rPr>
                <w:rFonts w:cs="Times New Roman"/>
              </w:rPr>
              <w:t xml:space="preserve">, in </w:t>
            </w:r>
            <w:proofErr w:type="spellStart"/>
            <w:r w:rsidRPr="00902076">
              <w:rPr>
                <w:rFonts w:cs="Times New Roman"/>
              </w:rPr>
              <w:t>part</w:t>
            </w:r>
            <w:proofErr w:type="spellEnd"/>
            <w:r w:rsidRPr="00902076">
              <w:rPr>
                <w:rFonts w:cs="Times New Roman"/>
              </w:rPr>
              <w:t xml:space="preserve"> </w:t>
            </w:r>
            <w:proofErr w:type="spellStart"/>
            <w:r w:rsidRPr="00902076">
              <w:rPr>
                <w:rFonts w:cs="Times New Roman"/>
              </w:rPr>
              <w:t>because</w:t>
            </w:r>
            <w:proofErr w:type="spellEnd"/>
            <w:r w:rsidRPr="00902076">
              <w:rPr>
                <w:rFonts w:cs="Times New Roman"/>
              </w:rPr>
              <w:t xml:space="preserve"> </w:t>
            </w:r>
            <w:proofErr w:type="spellStart"/>
            <w:r w:rsidRPr="00902076">
              <w:rPr>
                <w:rFonts w:cs="Times New Roman"/>
              </w:rPr>
              <w:t>higher</w:t>
            </w:r>
            <w:proofErr w:type="spellEnd"/>
            <w:r w:rsidRPr="00902076">
              <w:rPr>
                <w:rFonts w:cs="Times New Roman"/>
              </w:rPr>
              <w:t xml:space="preserve"> </w:t>
            </w:r>
            <w:proofErr w:type="spellStart"/>
            <w:r w:rsidRPr="00902076">
              <w:rPr>
                <w:rFonts w:cs="Times New Roman"/>
              </w:rPr>
              <w:t>incomes</w:t>
            </w:r>
            <w:proofErr w:type="spellEnd"/>
            <w:r w:rsidRPr="00902076">
              <w:rPr>
                <w:rFonts w:cs="Times New Roman"/>
              </w:rPr>
              <w:t xml:space="preserve"> and </w:t>
            </w:r>
            <w:proofErr w:type="spellStart"/>
            <w:r w:rsidRPr="00902076">
              <w:rPr>
                <w:rFonts w:cs="Times New Roman"/>
              </w:rPr>
              <w:t>higher</w:t>
            </w:r>
            <w:proofErr w:type="spellEnd"/>
            <w:r w:rsidRPr="00902076">
              <w:rPr>
                <w:rFonts w:cs="Times New Roman"/>
              </w:rPr>
              <w:t xml:space="preserve"> </w:t>
            </w:r>
            <w:proofErr w:type="spellStart"/>
            <w:r w:rsidRPr="00902076">
              <w:rPr>
                <w:rFonts w:cs="Times New Roman"/>
              </w:rPr>
              <w:t>levels</w:t>
            </w:r>
            <w:proofErr w:type="spellEnd"/>
            <w:r w:rsidRPr="00902076">
              <w:rPr>
                <w:rFonts w:cs="Times New Roman"/>
              </w:rPr>
              <w:t xml:space="preserve"> </w:t>
            </w:r>
            <w:proofErr w:type="spellStart"/>
            <w:r w:rsidRPr="00902076">
              <w:rPr>
                <w:rFonts w:cs="Times New Roman"/>
              </w:rPr>
              <w:t>of</w:t>
            </w:r>
            <w:proofErr w:type="spellEnd"/>
            <w:r w:rsidRPr="00902076">
              <w:rPr>
                <w:rFonts w:cs="Times New Roman"/>
              </w:rPr>
              <w:t xml:space="preserve"> </w:t>
            </w:r>
            <w:proofErr w:type="spellStart"/>
            <w:r w:rsidRPr="00902076">
              <w:rPr>
                <w:rFonts w:cs="Times New Roman"/>
              </w:rPr>
              <w:t>education</w:t>
            </w:r>
            <w:proofErr w:type="spellEnd"/>
            <w:r w:rsidRPr="00902076">
              <w:rPr>
                <w:rFonts w:cs="Times New Roman"/>
              </w:rPr>
              <w:t xml:space="preserve"> induce </w:t>
            </w:r>
            <w:proofErr w:type="spellStart"/>
            <w:r w:rsidRPr="00902076">
              <w:rPr>
                <w:rFonts w:cs="Times New Roman"/>
              </w:rPr>
              <w:t>women</w:t>
            </w:r>
            <w:proofErr w:type="spellEnd"/>
            <w:r w:rsidRPr="00902076">
              <w:rPr>
                <w:rFonts w:cs="Times New Roman"/>
              </w:rPr>
              <w:t xml:space="preserve"> </w:t>
            </w:r>
            <w:proofErr w:type="spellStart"/>
            <w:r w:rsidRPr="00902076">
              <w:rPr>
                <w:rFonts w:cs="Times New Roman"/>
              </w:rPr>
              <w:t>to</w:t>
            </w:r>
            <w:proofErr w:type="spellEnd"/>
            <w:r w:rsidRPr="00902076">
              <w:rPr>
                <w:rFonts w:cs="Times New Roman"/>
              </w:rPr>
              <w:t xml:space="preserve"> </w:t>
            </w:r>
            <w:proofErr w:type="spellStart"/>
            <w:r w:rsidRPr="00902076">
              <w:rPr>
                <w:rFonts w:cs="Times New Roman"/>
              </w:rPr>
              <w:t>marry</w:t>
            </w:r>
            <w:proofErr w:type="spellEnd"/>
            <w:r w:rsidRPr="00902076">
              <w:rPr>
                <w:rFonts w:cs="Times New Roman"/>
              </w:rPr>
              <w:t xml:space="preserve"> </w:t>
            </w:r>
            <w:proofErr w:type="spellStart"/>
            <w:r w:rsidRPr="00902076">
              <w:rPr>
                <w:rFonts w:cs="Times New Roman"/>
              </w:rPr>
              <w:t>later</w:t>
            </w:r>
            <w:proofErr w:type="spellEnd"/>
            <w:r w:rsidRPr="00902076">
              <w:rPr>
                <w:rFonts w:cs="Times New Roman"/>
              </w:rPr>
              <w:t xml:space="preserve">, </w:t>
            </w:r>
            <w:proofErr w:type="spellStart"/>
            <w:r w:rsidRPr="00902076">
              <w:rPr>
                <w:rFonts w:cs="Times New Roman"/>
              </w:rPr>
              <w:t>while</w:t>
            </w:r>
            <w:proofErr w:type="spellEnd"/>
            <w:r w:rsidRPr="00902076">
              <w:rPr>
                <w:rFonts w:cs="Times New Roman"/>
              </w:rPr>
              <w:t xml:space="preserve"> </w:t>
            </w:r>
            <w:proofErr w:type="spellStart"/>
            <w:r w:rsidRPr="00902076">
              <w:rPr>
                <w:rFonts w:cs="Times New Roman"/>
              </w:rPr>
              <w:t>increased</w:t>
            </w:r>
            <w:proofErr w:type="spellEnd"/>
            <w:r w:rsidRPr="00902076">
              <w:rPr>
                <w:rFonts w:cs="Times New Roman"/>
              </w:rPr>
              <w:t xml:space="preserve"> </w:t>
            </w:r>
            <w:proofErr w:type="spellStart"/>
            <w:r w:rsidRPr="00902076">
              <w:rPr>
                <w:rFonts w:cs="Times New Roman"/>
              </w:rPr>
              <w:t>irrigation</w:t>
            </w:r>
            <w:proofErr w:type="spellEnd"/>
            <w:r w:rsidRPr="00902076">
              <w:rPr>
                <w:rFonts w:cs="Times New Roman"/>
              </w:rPr>
              <w:t xml:space="preserve"> and </w:t>
            </w:r>
            <w:proofErr w:type="spellStart"/>
            <w:r w:rsidRPr="00902076">
              <w:rPr>
                <w:rFonts w:cs="Times New Roman"/>
              </w:rPr>
              <w:t>mechanization</w:t>
            </w:r>
            <w:proofErr w:type="spellEnd"/>
            <w:r w:rsidRPr="00902076">
              <w:rPr>
                <w:rFonts w:cs="Times New Roman"/>
              </w:rPr>
              <w:t xml:space="preserve"> reduce </w:t>
            </w:r>
            <w:proofErr w:type="spellStart"/>
            <w:r w:rsidRPr="00902076">
              <w:rPr>
                <w:rFonts w:cs="Times New Roman"/>
              </w:rPr>
              <w:t>exposure</w:t>
            </w:r>
            <w:proofErr w:type="spellEnd"/>
            <w:r w:rsidRPr="00902076">
              <w:rPr>
                <w:rFonts w:cs="Times New Roman"/>
              </w:rPr>
              <w:t xml:space="preserve"> </w:t>
            </w:r>
            <w:proofErr w:type="spellStart"/>
            <w:r w:rsidRPr="00902076">
              <w:rPr>
                <w:rFonts w:cs="Times New Roman"/>
              </w:rPr>
              <w:t>to</w:t>
            </w:r>
            <w:proofErr w:type="spellEnd"/>
            <w:r w:rsidRPr="00902076">
              <w:rPr>
                <w:rFonts w:cs="Times New Roman"/>
              </w:rPr>
              <w:t xml:space="preserve"> </w:t>
            </w:r>
            <w:proofErr w:type="spellStart"/>
            <w:r w:rsidRPr="00902076">
              <w:rPr>
                <w:rFonts w:cs="Times New Roman"/>
              </w:rPr>
              <w:t>weather</w:t>
            </w:r>
            <w:proofErr w:type="spellEnd"/>
            <w:r w:rsidRPr="00902076">
              <w:rPr>
                <w:rFonts w:cs="Times New Roman"/>
              </w:rPr>
              <w:t xml:space="preserve"> shocks and </w:t>
            </w:r>
            <w:proofErr w:type="spellStart"/>
            <w:r w:rsidRPr="00902076">
              <w:rPr>
                <w:rFonts w:cs="Times New Roman"/>
              </w:rPr>
              <w:t>reliance</w:t>
            </w:r>
            <w:proofErr w:type="spellEnd"/>
            <w:r w:rsidRPr="00902076">
              <w:rPr>
                <w:rFonts w:cs="Times New Roman"/>
              </w:rPr>
              <w:t xml:space="preserve"> </w:t>
            </w:r>
            <w:proofErr w:type="spellStart"/>
            <w:r w:rsidRPr="00902076">
              <w:rPr>
                <w:rFonts w:cs="Times New Roman"/>
              </w:rPr>
              <w:t>on</w:t>
            </w:r>
            <w:proofErr w:type="spellEnd"/>
            <w:r w:rsidRPr="00902076">
              <w:rPr>
                <w:rFonts w:cs="Times New Roman"/>
              </w:rPr>
              <w:t xml:space="preserve"> </w:t>
            </w:r>
            <w:proofErr w:type="spellStart"/>
            <w:r w:rsidRPr="00902076">
              <w:rPr>
                <w:rFonts w:cs="Times New Roman"/>
              </w:rPr>
              <w:t>family</w:t>
            </w:r>
            <w:proofErr w:type="spellEnd"/>
            <w:r w:rsidRPr="00902076">
              <w:rPr>
                <w:rFonts w:cs="Times New Roman"/>
              </w:rPr>
              <w:t xml:space="preserve"> labor.</w:t>
            </w:r>
          </w:p>
          <w:p w14:paraId="5FFF1FFF" w14:textId="597B5D37" w:rsidR="0054123D" w:rsidRDefault="0054123D" w:rsidP="00B41EB5">
            <w:pPr>
              <w:rPr>
                <w:rFonts w:cs="Times New Roman"/>
                <w:color w:val="000000" w:themeColor="text1"/>
                <w:lang w:val="en-US"/>
              </w:rPr>
            </w:pPr>
          </w:p>
          <w:p w14:paraId="6CB3F02D" w14:textId="7A003B72" w:rsidR="0054123D" w:rsidRDefault="0054123D" w:rsidP="00B41EB5">
            <w:pPr>
              <w:rPr>
                <w:rFonts w:cs="Times New Roman"/>
                <w:color w:val="000000" w:themeColor="text1"/>
                <w:lang w:val="en-US"/>
              </w:rPr>
            </w:pPr>
            <w:r>
              <w:rPr>
                <w:rFonts w:cs="Times New Roman"/>
                <w:color w:val="000000" w:themeColor="text1"/>
                <w:lang w:val="en-US"/>
              </w:rPr>
              <w:lastRenderedPageBreak/>
              <w:t>2</w:t>
            </w:r>
            <w:r w:rsidRPr="0054123D">
              <w:rPr>
                <w:rFonts w:cs="Times New Roman"/>
                <w:color w:val="000000" w:themeColor="text1"/>
                <w:vertAlign w:val="superscript"/>
                <w:lang w:val="en-US"/>
              </w:rPr>
              <w:t>nd</w:t>
            </w:r>
            <w:r>
              <w:rPr>
                <w:rFonts w:cs="Times New Roman"/>
                <w:color w:val="000000" w:themeColor="text1"/>
                <w:lang w:val="en-US"/>
              </w:rPr>
              <w:t xml:space="preserve"> </w:t>
            </w:r>
            <w:r w:rsidR="00822EB9">
              <w:rPr>
                <w:rFonts w:cs="Times New Roman"/>
                <w:color w:val="000000" w:themeColor="text1"/>
                <w:lang w:val="en-US"/>
              </w:rPr>
              <w:t>text (169 words)</w:t>
            </w:r>
          </w:p>
          <w:p w14:paraId="75F57986" w14:textId="65440649" w:rsidR="003B7CE7" w:rsidRDefault="003B7CE7" w:rsidP="00B41EB5">
            <w:pPr>
              <w:rPr>
                <w:rFonts w:cstheme="minorHAnsi"/>
                <w:color w:val="000000" w:themeColor="text1"/>
                <w:lang w:val="en-US"/>
              </w:rPr>
            </w:pPr>
            <w:proofErr w:type="spellStart"/>
            <w:r w:rsidRPr="00C026F1">
              <w:rPr>
                <w:rFonts w:cs="Times New Roman"/>
              </w:rPr>
              <w:t>The</w:t>
            </w:r>
            <w:proofErr w:type="spellEnd"/>
            <w:r w:rsidRPr="00C026F1">
              <w:rPr>
                <w:rFonts w:cs="Times New Roman"/>
              </w:rPr>
              <w:t xml:space="preserve"> </w:t>
            </w:r>
            <w:proofErr w:type="spellStart"/>
            <w:r w:rsidRPr="00C026F1">
              <w:rPr>
                <w:rFonts w:cs="Times New Roman"/>
              </w:rPr>
              <w:t>theory</w:t>
            </w:r>
            <w:proofErr w:type="spellEnd"/>
            <w:r w:rsidRPr="00C026F1">
              <w:rPr>
                <w:rFonts w:cs="Times New Roman"/>
              </w:rPr>
              <w:t xml:space="preserve"> </w:t>
            </w:r>
            <w:proofErr w:type="spellStart"/>
            <w:r w:rsidRPr="00C026F1">
              <w:rPr>
                <w:rFonts w:cs="Times New Roman"/>
              </w:rPr>
              <w:t>of</w:t>
            </w:r>
            <w:proofErr w:type="spellEnd"/>
            <w:r w:rsidRPr="00C026F1">
              <w:rPr>
                <w:rFonts w:cs="Times New Roman"/>
              </w:rPr>
              <w:t xml:space="preserve"> </w:t>
            </w:r>
            <w:proofErr w:type="spellStart"/>
            <w:r w:rsidRPr="00C026F1">
              <w:rPr>
                <w:rFonts w:cs="Times New Roman"/>
              </w:rPr>
              <w:t>sovereign</w:t>
            </w:r>
            <w:proofErr w:type="spellEnd"/>
            <w:r w:rsidRPr="00C026F1">
              <w:rPr>
                <w:rFonts w:cs="Times New Roman"/>
              </w:rPr>
              <w:t xml:space="preserve"> </w:t>
            </w:r>
            <w:proofErr w:type="spellStart"/>
            <w:r w:rsidRPr="00C026F1">
              <w:rPr>
                <w:rFonts w:cs="Times New Roman"/>
              </w:rPr>
              <w:t>debt</w:t>
            </w:r>
            <w:proofErr w:type="spellEnd"/>
            <w:r w:rsidRPr="00C026F1">
              <w:rPr>
                <w:rFonts w:cs="Times New Roman"/>
              </w:rPr>
              <w:t xml:space="preserve"> </w:t>
            </w:r>
            <w:proofErr w:type="spellStart"/>
            <w:r w:rsidRPr="00C026F1">
              <w:rPr>
                <w:rFonts w:cs="Times New Roman"/>
              </w:rPr>
              <w:t>postulates</w:t>
            </w:r>
            <w:proofErr w:type="spellEnd"/>
            <w:r w:rsidRPr="00C026F1">
              <w:rPr>
                <w:rFonts w:cs="Times New Roman"/>
              </w:rPr>
              <w:t xml:space="preserve"> a </w:t>
            </w:r>
            <w:proofErr w:type="spellStart"/>
            <w:r w:rsidRPr="00C026F1">
              <w:rPr>
                <w:rFonts w:cs="Times New Roman"/>
              </w:rPr>
              <w:t>key</w:t>
            </w:r>
            <w:proofErr w:type="spellEnd"/>
            <w:r w:rsidRPr="00C026F1">
              <w:rPr>
                <w:rFonts w:cs="Times New Roman"/>
              </w:rPr>
              <w:t xml:space="preserve"> role, </w:t>
            </w:r>
            <w:proofErr w:type="spellStart"/>
            <w:r w:rsidRPr="00C026F1">
              <w:rPr>
                <w:rFonts w:cs="Times New Roman"/>
              </w:rPr>
              <w:t>not</w:t>
            </w:r>
            <w:proofErr w:type="spellEnd"/>
            <w:r w:rsidRPr="00C026F1">
              <w:rPr>
                <w:rFonts w:cs="Times New Roman"/>
              </w:rPr>
              <w:t xml:space="preserve"> </w:t>
            </w:r>
            <w:proofErr w:type="spellStart"/>
            <w:r w:rsidRPr="00C026F1">
              <w:rPr>
                <w:rFonts w:cs="Times New Roman"/>
              </w:rPr>
              <w:t>only</w:t>
            </w:r>
            <w:proofErr w:type="spellEnd"/>
            <w:r w:rsidRPr="00C026F1">
              <w:rPr>
                <w:rFonts w:cs="Times New Roman"/>
              </w:rPr>
              <w:t xml:space="preserve"> </w:t>
            </w:r>
            <w:proofErr w:type="spellStart"/>
            <w:r w:rsidRPr="00C026F1">
              <w:rPr>
                <w:rFonts w:cs="Times New Roman"/>
              </w:rPr>
              <w:t>for</w:t>
            </w:r>
            <w:proofErr w:type="spellEnd"/>
            <w:r w:rsidRPr="00C026F1">
              <w:rPr>
                <w:rFonts w:cs="Times New Roman"/>
              </w:rPr>
              <w:t xml:space="preserve"> </w:t>
            </w:r>
            <w:proofErr w:type="spellStart"/>
            <w:r w:rsidRPr="00C026F1">
              <w:rPr>
                <w:rFonts w:cs="Times New Roman"/>
              </w:rPr>
              <w:t>the</w:t>
            </w:r>
            <w:proofErr w:type="spellEnd"/>
            <w:r w:rsidRPr="00C026F1">
              <w:rPr>
                <w:rFonts w:cs="Times New Roman"/>
              </w:rPr>
              <w:t xml:space="preserve"> </w:t>
            </w:r>
            <w:proofErr w:type="spellStart"/>
            <w:r w:rsidRPr="00C026F1">
              <w:rPr>
                <w:rFonts w:cs="Times New Roman"/>
              </w:rPr>
              <w:t>levels</w:t>
            </w:r>
            <w:proofErr w:type="spellEnd"/>
            <w:r w:rsidRPr="00C026F1">
              <w:rPr>
                <w:rFonts w:cs="Times New Roman"/>
              </w:rPr>
              <w:t xml:space="preserve"> </w:t>
            </w:r>
            <w:proofErr w:type="spellStart"/>
            <w:r w:rsidRPr="00C026F1">
              <w:rPr>
                <w:rFonts w:cs="Times New Roman"/>
              </w:rPr>
              <w:t>of</w:t>
            </w:r>
            <w:proofErr w:type="spellEnd"/>
            <w:r w:rsidRPr="00C026F1">
              <w:rPr>
                <w:rFonts w:cs="Times New Roman"/>
              </w:rPr>
              <w:t xml:space="preserve"> </w:t>
            </w:r>
            <w:proofErr w:type="spellStart"/>
            <w:r w:rsidRPr="00C026F1">
              <w:rPr>
                <w:rFonts w:cs="Times New Roman"/>
              </w:rPr>
              <w:t>solvency</w:t>
            </w:r>
            <w:proofErr w:type="spellEnd"/>
            <w:r w:rsidRPr="00C026F1">
              <w:rPr>
                <w:rFonts w:cs="Times New Roman"/>
              </w:rPr>
              <w:t xml:space="preserve"> </w:t>
            </w:r>
            <w:proofErr w:type="spellStart"/>
            <w:r w:rsidRPr="00C026F1">
              <w:rPr>
                <w:rFonts w:cs="Times New Roman"/>
              </w:rPr>
              <w:t>or</w:t>
            </w:r>
            <w:proofErr w:type="spellEnd"/>
            <w:r w:rsidRPr="00C026F1">
              <w:rPr>
                <w:rFonts w:cs="Times New Roman"/>
              </w:rPr>
              <w:t xml:space="preserve"> </w:t>
            </w:r>
            <w:proofErr w:type="spellStart"/>
            <w:r w:rsidRPr="00C026F1">
              <w:rPr>
                <w:rFonts w:cs="Times New Roman"/>
              </w:rPr>
              <w:t>liquidity</w:t>
            </w:r>
            <w:proofErr w:type="spellEnd"/>
            <w:r w:rsidRPr="00C026F1">
              <w:rPr>
                <w:rFonts w:cs="Times New Roman"/>
              </w:rPr>
              <w:t xml:space="preserve"> </w:t>
            </w:r>
            <w:proofErr w:type="spellStart"/>
            <w:r w:rsidRPr="00C026F1">
              <w:rPr>
                <w:rFonts w:cs="Times New Roman"/>
              </w:rPr>
              <w:t>indicators</w:t>
            </w:r>
            <w:proofErr w:type="spellEnd"/>
            <w:r w:rsidRPr="00C026F1">
              <w:rPr>
                <w:rFonts w:cs="Times New Roman"/>
              </w:rPr>
              <w:t xml:space="preserve"> </w:t>
            </w:r>
            <w:proofErr w:type="spellStart"/>
            <w:r w:rsidRPr="00C026F1">
              <w:rPr>
                <w:rFonts w:cs="Times New Roman"/>
              </w:rPr>
              <w:t>but</w:t>
            </w:r>
            <w:proofErr w:type="spellEnd"/>
            <w:r w:rsidRPr="00C026F1">
              <w:rPr>
                <w:rFonts w:cs="Times New Roman"/>
              </w:rPr>
              <w:t xml:space="preserve"> </w:t>
            </w:r>
            <w:proofErr w:type="spellStart"/>
            <w:r w:rsidRPr="00C026F1">
              <w:rPr>
                <w:rFonts w:cs="Times New Roman"/>
              </w:rPr>
              <w:t>also</w:t>
            </w:r>
            <w:proofErr w:type="spellEnd"/>
            <w:r w:rsidRPr="00C026F1">
              <w:rPr>
                <w:rFonts w:cs="Times New Roman"/>
              </w:rPr>
              <w:t xml:space="preserve"> </w:t>
            </w:r>
            <w:proofErr w:type="spellStart"/>
            <w:r w:rsidRPr="00C026F1">
              <w:rPr>
                <w:rFonts w:cs="Times New Roman"/>
              </w:rPr>
              <w:t>for</w:t>
            </w:r>
            <w:proofErr w:type="spellEnd"/>
            <w:r w:rsidRPr="00C026F1">
              <w:rPr>
                <w:rFonts w:cs="Times New Roman"/>
              </w:rPr>
              <w:t xml:space="preserve"> </w:t>
            </w:r>
            <w:proofErr w:type="spellStart"/>
            <w:r w:rsidRPr="00C026F1">
              <w:rPr>
                <w:rFonts w:cs="Times New Roman"/>
              </w:rPr>
              <w:t>their</w:t>
            </w:r>
            <w:proofErr w:type="spellEnd"/>
            <w:r w:rsidRPr="00C026F1">
              <w:rPr>
                <w:rFonts w:cs="Times New Roman"/>
              </w:rPr>
              <w:t xml:space="preserve"> </w:t>
            </w:r>
            <w:proofErr w:type="spellStart"/>
            <w:r w:rsidRPr="00C026F1">
              <w:rPr>
                <w:rFonts w:cs="Times New Roman"/>
              </w:rPr>
              <w:t>second</w:t>
            </w:r>
            <w:proofErr w:type="spellEnd"/>
            <w:r w:rsidRPr="00C026F1">
              <w:rPr>
                <w:rFonts w:cs="Times New Roman"/>
              </w:rPr>
              <w:t xml:space="preserve"> </w:t>
            </w:r>
            <w:proofErr w:type="spellStart"/>
            <w:r w:rsidRPr="00C026F1">
              <w:rPr>
                <w:rFonts w:cs="Times New Roman"/>
              </w:rPr>
              <w:t>moments</w:t>
            </w:r>
            <w:proofErr w:type="spellEnd"/>
            <w:r w:rsidRPr="00C026F1">
              <w:rPr>
                <w:rFonts w:cs="Times New Roman"/>
              </w:rPr>
              <w:t xml:space="preserve">, </w:t>
            </w:r>
            <w:proofErr w:type="spellStart"/>
            <w:r w:rsidRPr="00C026F1">
              <w:rPr>
                <w:rFonts w:cs="Times New Roman"/>
              </w:rPr>
              <w:t>their</w:t>
            </w:r>
            <w:proofErr w:type="spellEnd"/>
            <w:r w:rsidRPr="00C026F1">
              <w:rPr>
                <w:rFonts w:cs="Times New Roman"/>
              </w:rPr>
              <w:t xml:space="preserve"> </w:t>
            </w:r>
            <w:proofErr w:type="spellStart"/>
            <w:r w:rsidRPr="00C026F1">
              <w:rPr>
                <w:rFonts w:cs="Times New Roman"/>
              </w:rPr>
              <w:t>volatility</w:t>
            </w:r>
            <w:proofErr w:type="spellEnd"/>
            <w:r w:rsidRPr="00C026F1">
              <w:rPr>
                <w:rFonts w:cs="Times New Roman"/>
              </w:rPr>
              <w:t xml:space="preserve">. In </w:t>
            </w:r>
            <w:proofErr w:type="spellStart"/>
            <w:r w:rsidRPr="00C026F1">
              <w:rPr>
                <w:rFonts w:cs="Times New Roman"/>
              </w:rPr>
              <w:t>the</w:t>
            </w:r>
            <w:proofErr w:type="spellEnd"/>
            <w:r w:rsidRPr="00C026F1">
              <w:rPr>
                <w:rFonts w:cs="Times New Roman"/>
              </w:rPr>
              <w:t xml:space="preserve"> standard </w:t>
            </w:r>
            <w:proofErr w:type="spellStart"/>
            <w:r w:rsidRPr="00C026F1">
              <w:rPr>
                <w:rFonts w:cs="Times New Roman"/>
              </w:rPr>
              <w:t>version</w:t>
            </w:r>
            <w:proofErr w:type="spellEnd"/>
            <w:r w:rsidRPr="00C026F1">
              <w:rPr>
                <w:rFonts w:cs="Times New Roman"/>
              </w:rPr>
              <w:t xml:space="preserve"> </w:t>
            </w:r>
            <w:proofErr w:type="spellStart"/>
            <w:r w:rsidRPr="00C026F1">
              <w:rPr>
                <w:rFonts w:cs="Times New Roman"/>
              </w:rPr>
              <w:t>of</w:t>
            </w:r>
            <w:proofErr w:type="spellEnd"/>
            <w:r w:rsidRPr="00C026F1">
              <w:rPr>
                <w:rFonts w:cs="Times New Roman"/>
              </w:rPr>
              <w:t xml:space="preserve"> </w:t>
            </w:r>
            <w:proofErr w:type="spellStart"/>
            <w:r w:rsidRPr="00C026F1">
              <w:rPr>
                <w:rFonts w:cs="Times New Roman"/>
              </w:rPr>
              <w:t>their</w:t>
            </w:r>
            <w:proofErr w:type="spellEnd"/>
            <w:r w:rsidRPr="00C026F1">
              <w:rPr>
                <w:rFonts w:cs="Times New Roman"/>
              </w:rPr>
              <w:t xml:space="preserve"> 1981 </w:t>
            </w:r>
            <w:proofErr w:type="spellStart"/>
            <w:r w:rsidRPr="00C026F1">
              <w:rPr>
                <w:rFonts w:cs="Times New Roman"/>
              </w:rPr>
              <w:t>paper</w:t>
            </w:r>
            <w:proofErr w:type="spellEnd"/>
            <w:r w:rsidRPr="00C026F1">
              <w:rPr>
                <w:rFonts w:cs="Times New Roman"/>
              </w:rPr>
              <w:t xml:space="preserve"> </w:t>
            </w:r>
            <w:proofErr w:type="spellStart"/>
            <w:r w:rsidRPr="00C026F1">
              <w:rPr>
                <w:rFonts w:cs="Times New Roman"/>
              </w:rPr>
              <w:t>on</w:t>
            </w:r>
            <w:proofErr w:type="spellEnd"/>
            <w:r w:rsidRPr="00C026F1">
              <w:rPr>
                <w:rFonts w:cs="Times New Roman"/>
              </w:rPr>
              <w:t xml:space="preserve"> </w:t>
            </w:r>
            <w:proofErr w:type="spellStart"/>
            <w:r w:rsidRPr="00C026F1">
              <w:rPr>
                <w:rFonts w:cs="Times New Roman"/>
              </w:rPr>
              <w:t>the</w:t>
            </w:r>
            <w:proofErr w:type="spellEnd"/>
            <w:r w:rsidRPr="00C026F1">
              <w:rPr>
                <w:rFonts w:cs="Times New Roman"/>
              </w:rPr>
              <w:t xml:space="preserve"> </w:t>
            </w:r>
            <w:proofErr w:type="spellStart"/>
            <w:r w:rsidRPr="00C026F1">
              <w:rPr>
                <w:rFonts w:cs="Times New Roman"/>
              </w:rPr>
              <w:t>determinants</w:t>
            </w:r>
            <w:proofErr w:type="spellEnd"/>
            <w:r w:rsidRPr="00C026F1">
              <w:rPr>
                <w:rFonts w:cs="Times New Roman"/>
              </w:rPr>
              <w:t xml:space="preserve"> </w:t>
            </w:r>
            <w:proofErr w:type="spellStart"/>
            <w:r w:rsidRPr="00C026F1">
              <w:rPr>
                <w:rFonts w:cs="Times New Roman"/>
              </w:rPr>
              <w:t>of</w:t>
            </w:r>
            <w:proofErr w:type="spellEnd"/>
            <w:r w:rsidRPr="00C026F1">
              <w:rPr>
                <w:rFonts w:cs="Times New Roman"/>
              </w:rPr>
              <w:t xml:space="preserve"> </w:t>
            </w:r>
            <w:proofErr w:type="spellStart"/>
            <w:r w:rsidRPr="00C026F1">
              <w:rPr>
                <w:rFonts w:cs="Times New Roman"/>
              </w:rPr>
              <w:t>debt</w:t>
            </w:r>
            <w:proofErr w:type="spellEnd"/>
            <w:r w:rsidRPr="00C026F1">
              <w:rPr>
                <w:rFonts w:cs="Times New Roman"/>
              </w:rPr>
              <w:t xml:space="preserve"> </w:t>
            </w:r>
            <w:proofErr w:type="spellStart"/>
            <w:r w:rsidRPr="00C026F1">
              <w:rPr>
                <w:rFonts w:cs="Times New Roman"/>
              </w:rPr>
              <w:t>repudiation</w:t>
            </w:r>
            <w:proofErr w:type="spellEnd"/>
            <w:r w:rsidRPr="00C026F1">
              <w:rPr>
                <w:rFonts w:cs="Times New Roman"/>
              </w:rPr>
              <w:t xml:space="preserve">, Eaton and </w:t>
            </w:r>
            <w:proofErr w:type="spellStart"/>
            <w:r w:rsidRPr="00C026F1">
              <w:rPr>
                <w:rFonts w:cs="Times New Roman"/>
              </w:rPr>
              <w:t>Gersovitz</w:t>
            </w:r>
            <w:proofErr w:type="spellEnd"/>
            <w:r w:rsidRPr="00C026F1">
              <w:rPr>
                <w:rFonts w:cs="Times New Roman"/>
              </w:rPr>
              <w:t xml:space="preserve"> </w:t>
            </w:r>
            <w:proofErr w:type="gramStart"/>
            <w:r w:rsidRPr="00C026F1">
              <w:rPr>
                <w:rFonts w:cs="Times New Roman"/>
              </w:rPr>
              <w:t>show</w:t>
            </w:r>
            <w:proofErr w:type="gramEnd"/>
            <w:r w:rsidRPr="00C026F1">
              <w:rPr>
                <w:rFonts w:cs="Times New Roman"/>
              </w:rPr>
              <w:t xml:space="preserve"> </w:t>
            </w:r>
            <w:proofErr w:type="spellStart"/>
            <w:r w:rsidRPr="00C026F1">
              <w:rPr>
                <w:rFonts w:cs="Times New Roman"/>
              </w:rPr>
              <w:t>that</w:t>
            </w:r>
            <w:proofErr w:type="spellEnd"/>
            <w:r w:rsidRPr="00C026F1">
              <w:rPr>
                <w:rFonts w:cs="Times New Roman"/>
              </w:rPr>
              <w:t xml:space="preserve"> </w:t>
            </w:r>
            <w:proofErr w:type="spellStart"/>
            <w:r w:rsidRPr="00C026F1">
              <w:rPr>
                <w:rFonts w:cs="Times New Roman"/>
              </w:rPr>
              <w:t>macroeconomic</w:t>
            </w:r>
            <w:proofErr w:type="spellEnd"/>
            <w:r w:rsidRPr="00C026F1">
              <w:rPr>
                <w:rFonts w:cs="Times New Roman"/>
              </w:rPr>
              <w:t xml:space="preserve"> </w:t>
            </w:r>
            <w:proofErr w:type="spellStart"/>
            <w:r w:rsidRPr="00C026F1">
              <w:rPr>
                <w:rFonts w:cs="Times New Roman"/>
              </w:rPr>
              <w:t>volatility</w:t>
            </w:r>
            <w:proofErr w:type="spellEnd"/>
            <w:r w:rsidRPr="00C026F1">
              <w:rPr>
                <w:rFonts w:cs="Times New Roman"/>
              </w:rPr>
              <w:t xml:space="preserve"> </w:t>
            </w:r>
            <w:proofErr w:type="spellStart"/>
            <w:r w:rsidRPr="00C026F1">
              <w:rPr>
                <w:rFonts w:cs="Times New Roman"/>
              </w:rPr>
              <w:t>plays</w:t>
            </w:r>
            <w:proofErr w:type="spellEnd"/>
            <w:r w:rsidRPr="00C026F1">
              <w:rPr>
                <w:rFonts w:cs="Times New Roman"/>
              </w:rPr>
              <w:t xml:space="preserve"> a role in </w:t>
            </w:r>
            <w:proofErr w:type="spellStart"/>
            <w:r w:rsidRPr="00C026F1">
              <w:rPr>
                <w:rFonts w:cs="Times New Roman"/>
              </w:rPr>
              <w:t>sovereigns</w:t>
            </w:r>
            <w:proofErr w:type="spellEnd"/>
            <w:r w:rsidRPr="00C026F1">
              <w:rPr>
                <w:rFonts w:cs="Times New Roman"/>
              </w:rPr>
              <w:t xml:space="preserve">’ </w:t>
            </w:r>
            <w:proofErr w:type="spellStart"/>
            <w:r w:rsidRPr="00C026F1">
              <w:rPr>
                <w:rFonts w:cs="Times New Roman"/>
              </w:rPr>
              <w:t>decision</w:t>
            </w:r>
            <w:proofErr w:type="spellEnd"/>
            <w:r w:rsidRPr="00C026F1">
              <w:rPr>
                <w:rFonts w:cs="Times New Roman"/>
              </w:rPr>
              <w:t xml:space="preserve"> </w:t>
            </w:r>
            <w:proofErr w:type="spellStart"/>
            <w:r w:rsidRPr="00C026F1">
              <w:rPr>
                <w:rFonts w:cs="Times New Roman"/>
              </w:rPr>
              <w:t>to</w:t>
            </w:r>
            <w:proofErr w:type="spellEnd"/>
            <w:r w:rsidRPr="00C026F1">
              <w:rPr>
                <w:rFonts w:cs="Times New Roman"/>
              </w:rPr>
              <w:t xml:space="preserve"> default. </w:t>
            </w:r>
            <w:proofErr w:type="spellStart"/>
            <w:r w:rsidRPr="00C026F1">
              <w:rPr>
                <w:rFonts w:cs="Times New Roman"/>
              </w:rPr>
              <w:t>When</w:t>
            </w:r>
            <w:proofErr w:type="spellEnd"/>
            <w:r w:rsidRPr="00C026F1">
              <w:rPr>
                <w:rFonts w:cs="Times New Roman"/>
              </w:rPr>
              <w:t xml:space="preserve"> </w:t>
            </w:r>
            <w:proofErr w:type="spellStart"/>
            <w:r w:rsidRPr="00C026F1">
              <w:rPr>
                <w:rFonts w:cs="Times New Roman"/>
              </w:rPr>
              <w:t>income</w:t>
            </w:r>
            <w:proofErr w:type="spellEnd"/>
            <w:r w:rsidRPr="00C026F1">
              <w:rPr>
                <w:rFonts w:cs="Times New Roman"/>
              </w:rPr>
              <w:t xml:space="preserve"> </w:t>
            </w:r>
            <w:proofErr w:type="spellStart"/>
            <w:r w:rsidRPr="00C026F1">
              <w:rPr>
                <w:rFonts w:cs="Times New Roman"/>
              </w:rPr>
              <w:t>variations</w:t>
            </w:r>
            <w:proofErr w:type="spellEnd"/>
            <w:r w:rsidRPr="00C026F1">
              <w:rPr>
                <w:rFonts w:cs="Times New Roman"/>
              </w:rPr>
              <w:t xml:space="preserve"> are </w:t>
            </w:r>
            <w:proofErr w:type="spellStart"/>
            <w:r w:rsidRPr="00C026F1">
              <w:rPr>
                <w:rFonts w:cs="Times New Roman"/>
              </w:rPr>
              <w:t>assumed</w:t>
            </w:r>
            <w:proofErr w:type="spellEnd"/>
            <w:r w:rsidRPr="00C026F1">
              <w:rPr>
                <w:rFonts w:cs="Times New Roman"/>
              </w:rPr>
              <w:t xml:space="preserve"> </w:t>
            </w:r>
            <w:proofErr w:type="spellStart"/>
            <w:r w:rsidRPr="00C026F1">
              <w:rPr>
                <w:rFonts w:cs="Times New Roman"/>
              </w:rPr>
              <w:t>to</w:t>
            </w:r>
            <w:proofErr w:type="spellEnd"/>
            <w:r w:rsidRPr="00C026F1">
              <w:rPr>
                <w:rFonts w:cs="Times New Roman"/>
              </w:rPr>
              <w:t xml:space="preserve"> be </w:t>
            </w:r>
            <w:proofErr w:type="spellStart"/>
            <w:r w:rsidRPr="00C026F1">
              <w:rPr>
                <w:rFonts w:cs="Times New Roman"/>
              </w:rPr>
              <w:t>predictable</w:t>
            </w:r>
            <w:proofErr w:type="spellEnd"/>
            <w:r w:rsidRPr="00C026F1">
              <w:rPr>
                <w:rFonts w:cs="Times New Roman"/>
              </w:rPr>
              <w:t xml:space="preserve"> and capital </w:t>
            </w:r>
            <w:proofErr w:type="spellStart"/>
            <w:r w:rsidRPr="00C026F1">
              <w:rPr>
                <w:rFonts w:cs="Times New Roman"/>
              </w:rPr>
              <w:t>markets</w:t>
            </w:r>
            <w:proofErr w:type="spellEnd"/>
            <w:r w:rsidRPr="00C026F1">
              <w:rPr>
                <w:rFonts w:cs="Times New Roman"/>
              </w:rPr>
              <w:t xml:space="preserve"> </w:t>
            </w:r>
            <w:proofErr w:type="spellStart"/>
            <w:r w:rsidRPr="00C026F1">
              <w:rPr>
                <w:rFonts w:cs="Times New Roman"/>
              </w:rPr>
              <w:t>strictly</w:t>
            </w:r>
            <w:proofErr w:type="spellEnd"/>
            <w:r w:rsidRPr="00C026F1">
              <w:rPr>
                <w:rFonts w:cs="Times New Roman"/>
              </w:rPr>
              <w:t xml:space="preserve"> </w:t>
            </w:r>
            <w:proofErr w:type="spellStart"/>
            <w:r w:rsidRPr="00C026F1">
              <w:rPr>
                <w:rFonts w:cs="Times New Roman"/>
              </w:rPr>
              <w:t>enforce</w:t>
            </w:r>
            <w:proofErr w:type="spellEnd"/>
            <w:r w:rsidRPr="00C026F1">
              <w:rPr>
                <w:rFonts w:cs="Times New Roman"/>
              </w:rPr>
              <w:t xml:space="preserve"> </w:t>
            </w:r>
            <w:proofErr w:type="spellStart"/>
            <w:r w:rsidRPr="00C026F1">
              <w:rPr>
                <w:rFonts w:cs="Times New Roman"/>
              </w:rPr>
              <w:t>punishment</w:t>
            </w:r>
            <w:proofErr w:type="spellEnd"/>
            <w:r w:rsidRPr="00C026F1">
              <w:rPr>
                <w:rFonts w:cs="Times New Roman"/>
              </w:rPr>
              <w:t xml:space="preserve"> </w:t>
            </w:r>
            <w:proofErr w:type="spellStart"/>
            <w:r w:rsidRPr="00C026F1">
              <w:rPr>
                <w:rFonts w:cs="Times New Roman"/>
              </w:rPr>
              <w:t>for</w:t>
            </w:r>
            <w:proofErr w:type="spellEnd"/>
            <w:r w:rsidRPr="00C026F1">
              <w:rPr>
                <w:rFonts w:cs="Times New Roman"/>
              </w:rPr>
              <w:t xml:space="preserve"> </w:t>
            </w:r>
            <w:proofErr w:type="spellStart"/>
            <w:r w:rsidRPr="00C026F1">
              <w:rPr>
                <w:rFonts w:cs="Times New Roman"/>
              </w:rPr>
              <w:t>defaulters</w:t>
            </w:r>
            <w:proofErr w:type="spellEnd"/>
            <w:r w:rsidRPr="00C026F1">
              <w:rPr>
                <w:rFonts w:cs="Times New Roman"/>
              </w:rPr>
              <w:t xml:space="preserve"> </w:t>
            </w:r>
            <w:proofErr w:type="spellStart"/>
            <w:r w:rsidRPr="00C026F1">
              <w:rPr>
                <w:rFonts w:cs="Times New Roman"/>
              </w:rPr>
              <w:t>by</w:t>
            </w:r>
            <w:proofErr w:type="spellEnd"/>
            <w:r w:rsidRPr="00C026F1">
              <w:rPr>
                <w:rFonts w:cs="Times New Roman"/>
              </w:rPr>
              <w:t xml:space="preserve"> </w:t>
            </w:r>
            <w:proofErr w:type="spellStart"/>
            <w:r w:rsidRPr="00C026F1">
              <w:rPr>
                <w:rFonts w:cs="Times New Roman"/>
              </w:rPr>
              <w:t>restricting</w:t>
            </w:r>
            <w:proofErr w:type="spellEnd"/>
            <w:r w:rsidRPr="00C026F1">
              <w:rPr>
                <w:rFonts w:cs="Times New Roman"/>
              </w:rPr>
              <w:t xml:space="preserve"> </w:t>
            </w:r>
            <w:proofErr w:type="spellStart"/>
            <w:r w:rsidRPr="00C026F1">
              <w:rPr>
                <w:rFonts w:cs="Times New Roman"/>
              </w:rPr>
              <w:t>future</w:t>
            </w:r>
            <w:proofErr w:type="spellEnd"/>
            <w:r w:rsidRPr="00C026F1">
              <w:rPr>
                <w:rFonts w:cs="Times New Roman"/>
              </w:rPr>
              <w:t xml:space="preserve"> </w:t>
            </w:r>
            <w:proofErr w:type="spellStart"/>
            <w:r w:rsidRPr="00C026F1">
              <w:rPr>
                <w:rFonts w:cs="Times New Roman"/>
              </w:rPr>
              <w:t>access</w:t>
            </w:r>
            <w:proofErr w:type="spellEnd"/>
            <w:r w:rsidRPr="00C026F1">
              <w:rPr>
                <w:rFonts w:cs="Times New Roman"/>
              </w:rPr>
              <w:t xml:space="preserve"> </w:t>
            </w:r>
            <w:proofErr w:type="spellStart"/>
            <w:r w:rsidRPr="00C026F1">
              <w:rPr>
                <w:rFonts w:cs="Times New Roman"/>
              </w:rPr>
              <w:t>to</w:t>
            </w:r>
            <w:proofErr w:type="spellEnd"/>
            <w:r w:rsidRPr="00C026F1">
              <w:rPr>
                <w:rFonts w:cs="Times New Roman"/>
              </w:rPr>
              <w:t xml:space="preserve"> </w:t>
            </w:r>
            <w:proofErr w:type="spellStart"/>
            <w:r w:rsidRPr="00C026F1">
              <w:rPr>
                <w:rFonts w:cs="Times New Roman"/>
              </w:rPr>
              <w:t>credit</w:t>
            </w:r>
            <w:proofErr w:type="spellEnd"/>
            <w:r w:rsidRPr="00C026F1">
              <w:rPr>
                <w:rFonts w:cs="Times New Roman"/>
              </w:rPr>
              <w:t xml:space="preserve">, </w:t>
            </w:r>
            <w:proofErr w:type="spellStart"/>
            <w:r w:rsidRPr="00C026F1">
              <w:rPr>
                <w:rFonts w:cs="Times New Roman"/>
              </w:rPr>
              <w:t>higher</w:t>
            </w:r>
            <w:proofErr w:type="spellEnd"/>
            <w:r w:rsidRPr="00C026F1">
              <w:rPr>
                <w:rFonts w:cs="Times New Roman"/>
              </w:rPr>
              <w:t xml:space="preserve"> </w:t>
            </w:r>
            <w:proofErr w:type="spellStart"/>
            <w:r w:rsidRPr="00C026F1">
              <w:rPr>
                <w:rFonts w:cs="Times New Roman"/>
              </w:rPr>
              <w:t>income</w:t>
            </w:r>
            <w:proofErr w:type="spellEnd"/>
            <w:r w:rsidRPr="00C026F1">
              <w:rPr>
                <w:rFonts w:cs="Times New Roman"/>
              </w:rPr>
              <w:t xml:space="preserve"> </w:t>
            </w:r>
            <w:proofErr w:type="spellStart"/>
            <w:r w:rsidRPr="00C026F1">
              <w:rPr>
                <w:rFonts w:cs="Times New Roman"/>
              </w:rPr>
              <w:t>volatility</w:t>
            </w:r>
            <w:proofErr w:type="spellEnd"/>
            <w:r w:rsidRPr="00C026F1">
              <w:rPr>
                <w:rFonts w:cs="Times New Roman"/>
              </w:rPr>
              <w:t xml:space="preserve"> </w:t>
            </w:r>
            <w:proofErr w:type="spellStart"/>
            <w:r w:rsidRPr="00C026F1">
              <w:rPr>
                <w:rFonts w:cs="Times New Roman"/>
              </w:rPr>
              <w:t>lowers</w:t>
            </w:r>
            <w:proofErr w:type="spellEnd"/>
            <w:r w:rsidRPr="00C026F1">
              <w:rPr>
                <w:rFonts w:cs="Times New Roman"/>
              </w:rPr>
              <w:t xml:space="preserve"> </w:t>
            </w:r>
            <w:proofErr w:type="spellStart"/>
            <w:r w:rsidRPr="00C026F1">
              <w:rPr>
                <w:rFonts w:cs="Times New Roman"/>
              </w:rPr>
              <w:t>the</w:t>
            </w:r>
            <w:proofErr w:type="spellEnd"/>
            <w:r w:rsidRPr="00C026F1">
              <w:rPr>
                <w:rFonts w:cs="Times New Roman"/>
              </w:rPr>
              <w:t xml:space="preserve"> incentive </w:t>
            </w:r>
            <w:proofErr w:type="spellStart"/>
            <w:r w:rsidRPr="00C026F1">
              <w:rPr>
                <w:rFonts w:cs="Times New Roman"/>
              </w:rPr>
              <w:t>to</w:t>
            </w:r>
            <w:proofErr w:type="spellEnd"/>
            <w:r w:rsidRPr="00C026F1">
              <w:rPr>
                <w:rFonts w:cs="Times New Roman"/>
              </w:rPr>
              <w:t xml:space="preserve"> default </w:t>
            </w:r>
            <w:proofErr w:type="spellStart"/>
            <w:r w:rsidRPr="00C026F1">
              <w:rPr>
                <w:rFonts w:cs="Times New Roman"/>
              </w:rPr>
              <w:t>by</w:t>
            </w:r>
            <w:proofErr w:type="spellEnd"/>
            <w:r w:rsidRPr="00C026F1">
              <w:rPr>
                <w:rFonts w:cs="Times New Roman"/>
              </w:rPr>
              <w:t xml:space="preserve"> </w:t>
            </w:r>
            <w:proofErr w:type="spellStart"/>
            <w:r w:rsidRPr="00C026F1">
              <w:rPr>
                <w:rFonts w:cs="Times New Roman"/>
              </w:rPr>
              <w:t>preventing</w:t>
            </w:r>
            <w:proofErr w:type="spellEnd"/>
            <w:r w:rsidRPr="00C026F1">
              <w:rPr>
                <w:rFonts w:cs="Times New Roman"/>
              </w:rPr>
              <w:t xml:space="preserve"> </w:t>
            </w:r>
            <w:proofErr w:type="spellStart"/>
            <w:r w:rsidRPr="00C026F1">
              <w:rPr>
                <w:rFonts w:cs="Times New Roman"/>
              </w:rPr>
              <w:t>countries</w:t>
            </w:r>
            <w:proofErr w:type="spellEnd"/>
            <w:r w:rsidRPr="00C026F1">
              <w:rPr>
                <w:rFonts w:cs="Times New Roman"/>
              </w:rPr>
              <w:t xml:space="preserve"> </w:t>
            </w:r>
            <w:proofErr w:type="spellStart"/>
            <w:r w:rsidRPr="00C026F1">
              <w:rPr>
                <w:rFonts w:cs="Times New Roman"/>
              </w:rPr>
              <w:t>from</w:t>
            </w:r>
            <w:proofErr w:type="spellEnd"/>
            <w:r w:rsidRPr="00C026F1">
              <w:rPr>
                <w:rFonts w:cs="Times New Roman"/>
              </w:rPr>
              <w:t xml:space="preserve"> </w:t>
            </w:r>
            <w:proofErr w:type="spellStart"/>
            <w:r w:rsidRPr="00C026F1">
              <w:rPr>
                <w:rFonts w:cs="Times New Roman"/>
              </w:rPr>
              <w:t>smoothing</w:t>
            </w:r>
            <w:proofErr w:type="spellEnd"/>
            <w:r w:rsidRPr="00C026F1">
              <w:rPr>
                <w:rFonts w:cs="Times New Roman"/>
              </w:rPr>
              <w:t xml:space="preserve"> </w:t>
            </w:r>
            <w:proofErr w:type="spellStart"/>
            <w:r w:rsidRPr="00C026F1">
              <w:rPr>
                <w:rFonts w:cs="Times New Roman"/>
              </w:rPr>
              <w:t>consumption</w:t>
            </w:r>
            <w:proofErr w:type="spellEnd"/>
            <w:r w:rsidRPr="00C026F1">
              <w:rPr>
                <w:rFonts w:cs="Times New Roman"/>
              </w:rPr>
              <w:t xml:space="preserve"> </w:t>
            </w:r>
            <w:proofErr w:type="spellStart"/>
            <w:r w:rsidRPr="00C026F1">
              <w:rPr>
                <w:rFonts w:cs="Times New Roman"/>
              </w:rPr>
              <w:t>through</w:t>
            </w:r>
            <w:proofErr w:type="spellEnd"/>
            <w:r w:rsidRPr="00C026F1">
              <w:rPr>
                <w:rFonts w:cs="Times New Roman"/>
              </w:rPr>
              <w:t xml:space="preserve"> </w:t>
            </w:r>
            <w:proofErr w:type="spellStart"/>
            <w:r w:rsidRPr="00C026F1">
              <w:rPr>
                <w:rFonts w:cs="Times New Roman"/>
              </w:rPr>
              <w:t>international</w:t>
            </w:r>
            <w:proofErr w:type="spellEnd"/>
            <w:r w:rsidRPr="00C026F1">
              <w:rPr>
                <w:rFonts w:cs="Times New Roman"/>
              </w:rPr>
              <w:t xml:space="preserve"> </w:t>
            </w:r>
            <w:proofErr w:type="spellStart"/>
            <w:r w:rsidRPr="00C026F1">
              <w:rPr>
                <w:rFonts w:cs="Times New Roman"/>
              </w:rPr>
              <w:t>borrowing</w:t>
            </w:r>
            <w:proofErr w:type="spellEnd"/>
            <w:r w:rsidRPr="00C026F1">
              <w:rPr>
                <w:rFonts w:cs="Times New Roman"/>
              </w:rPr>
              <w:t xml:space="preserve"> once </w:t>
            </w:r>
            <w:proofErr w:type="spellStart"/>
            <w:r w:rsidRPr="00C026F1">
              <w:rPr>
                <w:rFonts w:cs="Times New Roman"/>
              </w:rPr>
              <w:t>they</w:t>
            </w:r>
            <w:proofErr w:type="spellEnd"/>
            <w:r w:rsidRPr="00C026F1">
              <w:rPr>
                <w:rFonts w:cs="Times New Roman"/>
              </w:rPr>
              <w:t xml:space="preserve"> default. </w:t>
            </w:r>
            <w:proofErr w:type="spellStart"/>
            <w:r w:rsidRPr="00C026F1">
              <w:rPr>
                <w:rFonts w:cs="Times New Roman"/>
              </w:rPr>
              <w:t>All</w:t>
            </w:r>
            <w:proofErr w:type="spellEnd"/>
            <w:r w:rsidRPr="00C026F1">
              <w:rPr>
                <w:rFonts w:cs="Times New Roman"/>
              </w:rPr>
              <w:t xml:space="preserve"> </w:t>
            </w:r>
            <w:proofErr w:type="spellStart"/>
            <w:r w:rsidRPr="00C026F1">
              <w:rPr>
                <w:rFonts w:cs="Times New Roman"/>
              </w:rPr>
              <w:t>else</w:t>
            </w:r>
            <w:proofErr w:type="spellEnd"/>
            <w:r w:rsidRPr="00C026F1">
              <w:rPr>
                <w:rFonts w:cs="Times New Roman"/>
              </w:rPr>
              <w:t xml:space="preserve"> </w:t>
            </w:r>
            <w:proofErr w:type="spellStart"/>
            <w:r w:rsidRPr="00C026F1">
              <w:rPr>
                <w:rFonts w:cs="Times New Roman"/>
              </w:rPr>
              <w:t>constant</w:t>
            </w:r>
            <w:proofErr w:type="spellEnd"/>
            <w:r w:rsidRPr="00C026F1">
              <w:rPr>
                <w:rFonts w:cs="Times New Roman"/>
              </w:rPr>
              <w:t xml:space="preserve">, </w:t>
            </w:r>
            <w:proofErr w:type="spellStart"/>
            <w:r w:rsidRPr="00C026F1">
              <w:rPr>
                <w:rFonts w:cs="Times New Roman"/>
              </w:rPr>
              <w:t>the</w:t>
            </w:r>
            <w:proofErr w:type="spellEnd"/>
            <w:r w:rsidRPr="00C026F1">
              <w:rPr>
                <w:rFonts w:cs="Times New Roman"/>
              </w:rPr>
              <w:t xml:space="preserve"> </w:t>
            </w:r>
            <w:proofErr w:type="spellStart"/>
            <w:r w:rsidRPr="00C026F1">
              <w:rPr>
                <w:rFonts w:cs="Times New Roman"/>
              </w:rPr>
              <w:t>incidence</w:t>
            </w:r>
            <w:proofErr w:type="spellEnd"/>
            <w:r w:rsidRPr="00C026F1">
              <w:rPr>
                <w:rFonts w:cs="Times New Roman"/>
              </w:rPr>
              <w:t xml:space="preserve"> </w:t>
            </w:r>
            <w:proofErr w:type="spellStart"/>
            <w:r w:rsidRPr="00C026F1">
              <w:rPr>
                <w:rFonts w:cs="Times New Roman"/>
              </w:rPr>
              <w:t>of</w:t>
            </w:r>
            <w:proofErr w:type="spellEnd"/>
            <w:r w:rsidRPr="00C026F1">
              <w:rPr>
                <w:rFonts w:cs="Times New Roman"/>
              </w:rPr>
              <w:t xml:space="preserve"> default </w:t>
            </w:r>
            <w:proofErr w:type="spellStart"/>
            <w:r w:rsidRPr="00C026F1">
              <w:rPr>
                <w:rFonts w:cs="Times New Roman"/>
              </w:rPr>
              <w:t>should</w:t>
            </w:r>
            <w:proofErr w:type="spellEnd"/>
            <w:r w:rsidRPr="00C026F1">
              <w:rPr>
                <w:rFonts w:cs="Times New Roman"/>
              </w:rPr>
              <w:t xml:space="preserve"> be </w:t>
            </w:r>
            <w:proofErr w:type="spellStart"/>
            <w:r w:rsidRPr="00C026F1">
              <w:rPr>
                <w:rFonts w:cs="Times New Roman"/>
              </w:rPr>
              <w:t>lower</w:t>
            </w:r>
            <w:proofErr w:type="spellEnd"/>
            <w:r w:rsidRPr="00C026F1">
              <w:rPr>
                <w:rFonts w:cs="Times New Roman"/>
              </w:rPr>
              <w:t xml:space="preserve"> in </w:t>
            </w:r>
            <w:proofErr w:type="spellStart"/>
            <w:r w:rsidRPr="00C026F1">
              <w:rPr>
                <w:rFonts w:cs="Times New Roman"/>
              </w:rPr>
              <w:t>countries</w:t>
            </w:r>
            <w:proofErr w:type="spellEnd"/>
            <w:r w:rsidRPr="00C026F1">
              <w:rPr>
                <w:rFonts w:cs="Times New Roman"/>
              </w:rPr>
              <w:t xml:space="preserve"> </w:t>
            </w:r>
            <w:proofErr w:type="spellStart"/>
            <w:r w:rsidRPr="00C026F1">
              <w:rPr>
                <w:rFonts w:cs="Times New Roman"/>
              </w:rPr>
              <w:t>with</w:t>
            </w:r>
            <w:proofErr w:type="spellEnd"/>
            <w:r w:rsidRPr="00C026F1">
              <w:rPr>
                <w:rFonts w:cs="Times New Roman"/>
              </w:rPr>
              <w:t xml:space="preserve"> </w:t>
            </w:r>
            <w:proofErr w:type="spellStart"/>
            <w:r w:rsidRPr="00C026F1">
              <w:rPr>
                <w:rFonts w:cs="Times New Roman"/>
              </w:rPr>
              <w:t>higher</w:t>
            </w:r>
            <w:proofErr w:type="spellEnd"/>
            <w:r w:rsidRPr="00C026F1">
              <w:rPr>
                <w:rFonts w:cs="Times New Roman"/>
              </w:rPr>
              <w:t xml:space="preserve"> </w:t>
            </w:r>
            <w:proofErr w:type="spellStart"/>
            <w:r w:rsidRPr="00C026F1">
              <w:rPr>
                <w:rFonts w:cs="Times New Roman"/>
              </w:rPr>
              <w:t>income</w:t>
            </w:r>
            <w:proofErr w:type="spellEnd"/>
            <w:r w:rsidRPr="00C026F1">
              <w:rPr>
                <w:rFonts w:cs="Times New Roman"/>
              </w:rPr>
              <w:t xml:space="preserve"> </w:t>
            </w:r>
            <w:proofErr w:type="spellStart"/>
            <w:r w:rsidRPr="00C026F1">
              <w:rPr>
                <w:rFonts w:cs="Times New Roman"/>
              </w:rPr>
              <w:t>volatility</w:t>
            </w:r>
            <w:proofErr w:type="spellEnd"/>
            <w:r w:rsidRPr="00C026F1">
              <w:rPr>
                <w:rFonts w:cs="Times New Roman"/>
              </w:rPr>
              <w:t xml:space="preserve">. </w:t>
            </w:r>
            <w:proofErr w:type="spellStart"/>
            <w:r w:rsidRPr="00C026F1">
              <w:rPr>
                <w:rFonts w:cs="Times New Roman"/>
              </w:rPr>
              <w:t>However</w:t>
            </w:r>
            <w:proofErr w:type="spellEnd"/>
            <w:r w:rsidRPr="00C026F1">
              <w:rPr>
                <w:rFonts w:cs="Times New Roman"/>
              </w:rPr>
              <w:t xml:space="preserve">, </w:t>
            </w:r>
            <w:proofErr w:type="spellStart"/>
            <w:r w:rsidRPr="00C026F1">
              <w:rPr>
                <w:rFonts w:cs="Times New Roman"/>
              </w:rPr>
              <w:t>if</w:t>
            </w:r>
            <w:proofErr w:type="spellEnd"/>
            <w:r w:rsidRPr="00C026F1">
              <w:rPr>
                <w:rFonts w:cs="Times New Roman"/>
              </w:rPr>
              <w:t xml:space="preserve"> </w:t>
            </w:r>
            <w:proofErr w:type="spellStart"/>
            <w:r w:rsidRPr="00C026F1">
              <w:rPr>
                <w:rFonts w:cs="Times New Roman"/>
              </w:rPr>
              <w:t>income</w:t>
            </w:r>
            <w:proofErr w:type="spellEnd"/>
            <w:r w:rsidRPr="00C026F1">
              <w:rPr>
                <w:rFonts w:cs="Times New Roman"/>
              </w:rPr>
              <w:t xml:space="preserve"> </w:t>
            </w:r>
            <w:proofErr w:type="spellStart"/>
            <w:r w:rsidRPr="00C026F1">
              <w:rPr>
                <w:rFonts w:cs="Times New Roman"/>
              </w:rPr>
              <w:t>variations</w:t>
            </w:r>
            <w:proofErr w:type="spellEnd"/>
            <w:r w:rsidRPr="00C026F1">
              <w:rPr>
                <w:rFonts w:cs="Times New Roman"/>
              </w:rPr>
              <w:t xml:space="preserve"> are </w:t>
            </w:r>
            <w:proofErr w:type="spellStart"/>
            <w:r w:rsidRPr="00C026F1">
              <w:rPr>
                <w:rFonts w:cs="Times New Roman"/>
              </w:rPr>
              <w:t>stochastic</w:t>
            </w:r>
            <w:proofErr w:type="spellEnd"/>
            <w:r w:rsidRPr="00C026F1">
              <w:rPr>
                <w:rFonts w:cs="Times New Roman"/>
              </w:rPr>
              <w:t xml:space="preserve">, </w:t>
            </w:r>
            <w:proofErr w:type="spellStart"/>
            <w:r w:rsidRPr="00C026F1">
              <w:rPr>
                <w:rFonts w:cs="Times New Roman"/>
              </w:rPr>
              <w:t>the</w:t>
            </w:r>
            <w:proofErr w:type="spellEnd"/>
            <w:r w:rsidRPr="00C026F1">
              <w:rPr>
                <w:rFonts w:cs="Times New Roman"/>
              </w:rPr>
              <w:t xml:space="preserve"> </w:t>
            </w:r>
            <w:proofErr w:type="spellStart"/>
            <w:r w:rsidRPr="00C026F1">
              <w:rPr>
                <w:rFonts w:cs="Times New Roman"/>
              </w:rPr>
              <w:t>paper</w:t>
            </w:r>
            <w:proofErr w:type="spellEnd"/>
            <w:r w:rsidRPr="00C026F1">
              <w:rPr>
                <w:rFonts w:cs="Times New Roman"/>
              </w:rPr>
              <w:t xml:space="preserve"> </w:t>
            </w:r>
            <w:proofErr w:type="gramStart"/>
            <w:r w:rsidRPr="00C026F1">
              <w:rPr>
                <w:rFonts w:cs="Times New Roman"/>
              </w:rPr>
              <w:t>shows</w:t>
            </w:r>
            <w:proofErr w:type="gramEnd"/>
            <w:r w:rsidRPr="00C026F1">
              <w:rPr>
                <w:rFonts w:cs="Times New Roman"/>
              </w:rPr>
              <w:t xml:space="preserve"> </w:t>
            </w:r>
            <w:proofErr w:type="spellStart"/>
            <w:r w:rsidRPr="00C026F1">
              <w:rPr>
                <w:rFonts w:cs="Times New Roman"/>
              </w:rPr>
              <w:t>that</w:t>
            </w:r>
            <w:proofErr w:type="spellEnd"/>
            <w:r w:rsidRPr="00C026F1">
              <w:rPr>
                <w:rFonts w:cs="Times New Roman"/>
              </w:rPr>
              <w:t xml:space="preserve"> </w:t>
            </w:r>
            <w:proofErr w:type="spellStart"/>
            <w:r w:rsidRPr="00C026F1">
              <w:rPr>
                <w:rFonts w:cs="Times New Roman"/>
              </w:rPr>
              <w:t>an</w:t>
            </w:r>
            <w:proofErr w:type="spellEnd"/>
            <w:r w:rsidRPr="00C026F1">
              <w:rPr>
                <w:rFonts w:cs="Times New Roman"/>
              </w:rPr>
              <w:t xml:space="preserve"> </w:t>
            </w:r>
            <w:proofErr w:type="spellStart"/>
            <w:r w:rsidRPr="00C026F1">
              <w:rPr>
                <w:rFonts w:cs="Times New Roman"/>
              </w:rPr>
              <w:t>unpredictable</w:t>
            </w:r>
            <w:proofErr w:type="spellEnd"/>
            <w:r w:rsidRPr="00C026F1">
              <w:rPr>
                <w:rFonts w:cs="Times New Roman"/>
              </w:rPr>
              <w:t xml:space="preserve"> </w:t>
            </w:r>
            <w:proofErr w:type="spellStart"/>
            <w:r w:rsidRPr="00C026F1">
              <w:rPr>
                <w:rFonts w:cs="Times New Roman"/>
              </w:rPr>
              <w:t>succession</w:t>
            </w:r>
            <w:proofErr w:type="spellEnd"/>
            <w:r w:rsidRPr="00C026F1">
              <w:rPr>
                <w:rFonts w:cs="Times New Roman"/>
              </w:rPr>
              <w:t xml:space="preserve"> </w:t>
            </w:r>
            <w:proofErr w:type="spellStart"/>
            <w:r w:rsidRPr="00C026F1">
              <w:rPr>
                <w:rFonts w:cs="Times New Roman"/>
              </w:rPr>
              <w:t>of</w:t>
            </w:r>
            <w:proofErr w:type="spellEnd"/>
            <w:r w:rsidRPr="00C026F1">
              <w:rPr>
                <w:rFonts w:cs="Times New Roman"/>
              </w:rPr>
              <w:t xml:space="preserve"> </w:t>
            </w:r>
            <w:proofErr w:type="spellStart"/>
            <w:r w:rsidRPr="00C026F1">
              <w:rPr>
                <w:rFonts w:cs="Times New Roman"/>
              </w:rPr>
              <w:t>bad</w:t>
            </w:r>
            <w:proofErr w:type="spellEnd"/>
            <w:r w:rsidRPr="00C026F1">
              <w:rPr>
                <w:rFonts w:cs="Times New Roman"/>
              </w:rPr>
              <w:t xml:space="preserve"> shocks </w:t>
            </w:r>
            <w:proofErr w:type="spellStart"/>
            <w:r w:rsidRPr="00C026F1">
              <w:rPr>
                <w:rFonts w:cs="Times New Roman"/>
              </w:rPr>
              <w:t>may</w:t>
            </w:r>
            <w:proofErr w:type="spellEnd"/>
            <w:r w:rsidRPr="00C026F1">
              <w:rPr>
                <w:rFonts w:cs="Times New Roman"/>
              </w:rPr>
              <w:t xml:space="preserve"> </w:t>
            </w:r>
            <w:proofErr w:type="spellStart"/>
            <w:r w:rsidRPr="00C026F1">
              <w:rPr>
                <w:rFonts w:cs="Times New Roman"/>
              </w:rPr>
              <w:t>turn</w:t>
            </w:r>
            <w:proofErr w:type="spellEnd"/>
            <w:r w:rsidRPr="00C026F1">
              <w:rPr>
                <w:rFonts w:cs="Times New Roman"/>
              </w:rPr>
              <w:t xml:space="preserve"> </w:t>
            </w:r>
            <w:proofErr w:type="spellStart"/>
            <w:r w:rsidRPr="00C026F1">
              <w:rPr>
                <w:rFonts w:cs="Times New Roman"/>
              </w:rPr>
              <w:t>the</w:t>
            </w:r>
            <w:proofErr w:type="spellEnd"/>
            <w:r w:rsidRPr="00C026F1">
              <w:rPr>
                <w:rFonts w:cs="Times New Roman"/>
              </w:rPr>
              <w:t xml:space="preserve"> net marginal </w:t>
            </w:r>
            <w:proofErr w:type="spellStart"/>
            <w:r w:rsidRPr="00C026F1">
              <w:rPr>
                <w:rFonts w:cs="Times New Roman"/>
              </w:rPr>
              <w:t>utility</w:t>
            </w:r>
            <w:proofErr w:type="spellEnd"/>
            <w:r w:rsidRPr="00C026F1">
              <w:rPr>
                <w:rFonts w:cs="Times New Roman"/>
              </w:rPr>
              <w:t xml:space="preserve"> </w:t>
            </w:r>
            <w:proofErr w:type="spellStart"/>
            <w:r w:rsidRPr="00C026F1">
              <w:rPr>
                <w:rFonts w:cs="Times New Roman"/>
              </w:rPr>
              <w:t>of</w:t>
            </w:r>
            <w:proofErr w:type="spellEnd"/>
            <w:r w:rsidRPr="00C026F1">
              <w:rPr>
                <w:rFonts w:cs="Times New Roman"/>
              </w:rPr>
              <w:t xml:space="preserve"> </w:t>
            </w:r>
            <w:proofErr w:type="spellStart"/>
            <w:r w:rsidRPr="00C026F1">
              <w:rPr>
                <w:rFonts w:cs="Times New Roman"/>
              </w:rPr>
              <w:t>defaulting</w:t>
            </w:r>
            <w:proofErr w:type="spellEnd"/>
            <w:r w:rsidRPr="00C026F1">
              <w:rPr>
                <w:rFonts w:cs="Times New Roman"/>
              </w:rPr>
              <w:t xml:space="preserve"> positive. </w:t>
            </w:r>
            <w:proofErr w:type="spellStart"/>
            <w:r w:rsidRPr="00C026F1">
              <w:rPr>
                <w:rFonts w:cs="Times New Roman"/>
              </w:rPr>
              <w:t>The</w:t>
            </w:r>
            <w:proofErr w:type="spellEnd"/>
            <w:r w:rsidRPr="00C026F1">
              <w:rPr>
                <w:rFonts w:cs="Times New Roman"/>
              </w:rPr>
              <w:t xml:space="preserve"> </w:t>
            </w:r>
            <w:proofErr w:type="spellStart"/>
            <w:r w:rsidRPr="00C026F1">
              <w:rPr>
                <w:rFonts w:cs="Times New Roman"/>
              </w:rPr>
              <w:t>relationship</w:t>
            </w:r>
            <w:proofErr w:type="spellEnd"/>
            <w:r w:rsidRPr="00C026F1">
              <w:rPr>
                <w:rFonts w:cs="Times New Roman"/>
              </w:rPr>
              <w:t xml:space="preserve"> </w:t>
            </w:r>
            <w:proofErr w:type="spellStart"/>
            <w:r w:rsidRPr="00C026F1">
              <w:rPr>
                <w:rFonts w:cs="Times New Roman"/>
              </w:rPr>
              <w:t>between</w:t>
            </w:r>
            <w:proofErr w:type="spellEnd"/>
            <w:r w:rsidRPr="00C026F1">
              <w:rPr>
                <w:rFonts w:cs="Times New Roman"/>
              </w:rPr>
              <w:t xml:space="preserve"> </w:t>
            </w:r>
            <w:proofErr w:type="spellStart"/>
            <w:r w:rsidRPr="00C026F1">
              <w:rPr>
                <w:rFonts w:cs="Times New Roman"/>
              </w:rPr>
              <w:t>volatility</w:t>
            </w:r>
            <w:proofErr w:type="spellEnd"/>
            <w:r w:rsidRPr="00C026F1">
              <w:rPr>
                <w:rFonts w:cs="Times New Roman"/>
              </w:rPr>
              <w:t xml:space="preserve"> and </w:t>
            </w:r>
            <w:proofErr w:type="spellStart"/>
            <w:r w:rsidRPr="00C026F1">
              <w:rPr>
                <w:rFonts w:cs="Times New Roman"/>
              </w:rPr>
              <w:t>debt</w:t>
            </w:r>
            <w:proofErr w:type="spellEnd"/>
            <w:r w:rsidRPr="00C026F1">
              <w:rPr>
                <w:rFonts w:cs="Times New Roman"/>
              </w:rPr>
              <w:t xml:space="preserve"> </w:t>
            </w:r>
            <w:proofErr w:type="spellStart"/>
            <w:r w:rsidRPr="00C026F1">
              <w:rPr>
                <w:rFonts w:cs="Times New Roman"/>
              </w:rPr>
              <w:t>distress</w:t>
            </w:r>
            <w:proofErr w:type="spellEnd"/>
            <w:r w:rsidRPr="00C026F1">
              <w:rPr>
                <w:rFonts w:cs="Times New Roman"/>
              </w:rPr>
              <w:t xml:space="preserve"> </w:t>
            </w:r>
            <w:proofErr w:type="spellStart"/>
            <w:r w:rsidRPr="00C026F1">
              <w:rPr>
                <w:rFonts w:cs="Times New Roman"/>
              </w:rPr>
              <w:t>depends</w:t>
            </w:r>
            <w:proofErr w:type="spellEnd"/>
            <w:r w:rsidRPr="00C026F1">
              <w:rPr>
                <w:rFonts w:cs="Times New Roman"/>
              </w:rPr>
              <w:t xml:space="preserve"> </w:t>
            </w:r>
            <w:proofErr w:type="spellStart"/>
            <w:r w:rsidRPr="00C026F1">
              <w:rPr>
                <w:rFonts w:cs="Times New Roman"/>
              </w:rPr>
              <w:t>on</w:t>
            </w:r>
            <w:proofErr w:type="spellEnd"/>
            <w:r w:rsidRPr="00C026F1">
              <w:rPr>
                <w:rFonts w:cs="Times New Roman"/>
              </w:rPr>
              <w:t xml:space="preserve"> </w:t>
            </w:r>
            <w:proofErr w:type="spellStart"/>
            <w:r w:rsidRPr="00C026F1">
              <w:rPr>
                <w:rFonts w:cs="Times New Roman"/>
              </w:rPr>
              <w:t>the</w:t>
            </w:r>
            <w:proofErr w:type="spellEnd"/>
            <w:r w:rsidRPr="00C026F1">
              <w:rPr>
                <w:rFonts w:cs="Times New Roman"/>
              </w:rPr>
              <w:t xml:space="preserve"> </w:t>
            </w:r>
            <w:proofErr w:type="spellStart"/>
            <w:r w:rsidRPr="00C026F1">
              <w:rPr>
                <w:rFonts w:cs="Times New Roman"/>
              </w:rPr>
              <w:t>relative</w:t>
            </w:r>
            <w:proofErr w:type="spellEnd"/>
            <w:r w:rsidRPr="00C026F1">
              <w:rPr>
                <w:rFonts w:cs="Times New Roman"/>
              </w:rPr>
              <w:t xml:space="preserve"> balance </w:t>
            </w:r>
            <w:proofErr w:type="spellStart"/>
            <w:r w:rsidRPr="00C026F1">
              <w:rPr>
                <w:rFonts w:cs="Times New Roman"/>
              </w:rPr>
              <w:t>between</w:t>
            </w:r>
            <w:proofErr w:type="spellEnd"/>
            <w:r w:rsidRPr="00C026F1">
              <w:rPr>
                <w:rFonts w:cs="Times New Roman"/>
              </w:rPr>
              <w:t xml:space="preserve"> </w:t>
            </w:r>
            <w:proofErr w:type="spellStart"/>
            <w:r w:rsidRPr="00C026F1">
              <w:rPr>
                <w:rFonts w:cs="Times New Roman"/>
              </w:rPr>
              <w:t>the</w:t>
            </w:r>
            <w:proofErr w:type="spellEnd"/>
            <w:r w:rsidRPr="00C026F1">
              <w:rPr>
                <w:rFonts w:cs="Times New Roman"/>
              </w:rPr>
              <w:t xml:space="preserve"> </w:t>
            </w:r>
            <w:proofErr w:type="spellStart"/>
            <w:r w:rsidRPr="00C026F1">
              <w:rPr>
                <w:rFonts w:cs="Times New Roman"/>
              </w:rPr>
              <w:t>country’s</w:t>
            </w:r>
            <w:proofErr w:type="spellEnd"/>
            <w:r w:rsidRPr="00C026F1">
              <w:rPr>
                <w:rFonts w:cs="Times New Roman"/>
              </w:rPr>
              <w:t xml:space="preserve"> </w:t>
            </w:r>
            <w:proofErr w:type="spellStart"/>
            <w:r w:rsidRPr="00C026F1">
              <w:rPr>
                <w:rFonts w:cs="Times New Roman"/>
              </w:rPr>
              <w:t>willingness</w:t>
            </w:r>
            <w:proofErr w:type="spellEnd"/>
            <w:r w:rsidRPr="00C026F1">
              <w:rPr>
                <w:rFonts w:cs="Times New Roman"/>
              </w:rPr>
              <w:t xml:space="preserve"> </w:t>
            </w:r>
            <w:proofErr w:type="spellStart"/>
            <w:r w:rsidRPr="00C026F1">
              <w:rPr>
                <w:rFonts w:cs="Times New Roman"/>
              </w:rPr>
              <w:t>to</w:t>
            </w:r>
            <w:proofErr w:type="spellEnd"/>
            <w:r w:rsidRPr="00C026F1">
              <w:rPr>
                <w:rFonts w:cs="Times New Roman"/>
              </w:rPr>
              <w:t xml:space="preserve"> </w:t>
            </w:r>
            <w:proofErr w:type="spellStart"/>
            <w:r w:rsidRPr="00C026F1">
              <w:rPr>
                <w:rFonts w:cs="Times New Roman"/>
              </w:rPr>
              <w:t>pay</w:t>
            </w:r>
            <w:proofErr w:type="spellEnd"/>
            <w:r w:rsidRPr="00C026F1">
              <w:rPr>
                <w:rFonts w:cs="Times New Roman"/>
              </w:rPr>
              <w:t xml:space="preserve"> and </w:t>
            </w:r>
            <w:proofErr w:type="spellStart"/>
            <w:r w:rsidRPr="00C026F1">
              <w:rPr>
                <w:rFonts w:cs="Times New Roman"/>
              </w:rPr>
              <w:t>its</w:t>
            </w:r>
            <w:proofErr w:type="spellEnd"/>
            <w:r w:rsidRPr="00C026F1">
              <w:rPr>
                <w:rFonts w:cs="Times New Roman"/>
              </w:rPr>
              <w:t xml:space="preserve"> </w:t>
            </w:r>
            <w:proofErr w:type="spellStart"/>
            <w:r w:rsidRPr="00C026F1">
              <w:rPr>
                <w:rFonts w:cs="Times New Roman"/>
              </w:rPr>
              <w:t>capacity</w:t>
            </w:r>
            <w:proofErr w:type="spellEnd"/>
            <w:r w:rsidRPr="00C026F1">
              <w:rPr>
                <w:rFonts w:cs="Times New Roman"/>
              </w:rPr>
              <w:t xml:space="preserve"> </w:t>
            </w:r>
            <w:proofErr w:type="spellStart"/>
            <w:r w:rsidRPr="00C026F1">
              <w:rPr>
                <w:rFonts w:cs="Times New Roman"/>
              </w:rPr>
              <w:t>to</w:t>
            </w:r>
            <w:proofErr w:type="spellEnd"/>
            <w:r w:rsidRPr="00C026F1">
              <w:rPr>
                <w:rFonts w:cs="Times New Roman"/>
              </w:rPr>
              <w:t xml:space="preserve"> </w:t>
            </w:r>
            <w:proofErr w:type="spellStart"/>
            <w:r w:rsidRPr="00C026F1">
              <w:rPr>
                <w:rFonts w:cs="Times New Roman"/>
              </w:rPr>
              <w:t>pay</w:t>
            </w:r>
            <w:proofErr w:type="spellEnd"/>
            <w:r w:rsidRPr="00C026F1">
              <w:rPr>
                <w:rFonts w:cs="Times New Roman"/>
              </w:rPr>
              <w:t xml:space="preserve">, </w:t>
            </w:r>
            <w:proofErr w:type="spellStart"/>
            <w:r w:rsidRPr="00C026F1">
              <w:rPr>
                <w:rFonts w:cs="Times New Roman"/>
              </w:rPr>
              <w:t>with</w:t>
            </w:r>
            <w:proofErr w:type="spellEnd"/>
            <w:r w:rsidRPr="00C026F1">
              <w:rPr>
                <w:rFonts w:cs="Times New Roman"/>
              </w:rPr>
              <w:t xml:space="preserve"> </w:t>
            </w:r>
            <w:proofErr w:type="spellStart"/>
            <w:r w:rsidRPr="00C026F1">
              <w:rPr>
                <w:rFonts w:cs="Times New Roman"/>
              </w:rPr>
              <w:t>both</w:t>
            </w:r>
            <w:proofErr w:type="spellEnd"/>
            <w:r w:rsidRPr="00C026F1">
              <w:rPr>
                <w:rFonts w:cs="Times New Roman"/>
              </w:rPr>
              <w:t xml:space="preserve"> </w:t>
            </w:r>
            <w:proofErr w:type="spellStart"/>
            <w:r w:rsidRPr="00C026F1">
              <w:rPr>
                <w:rFonts w:cs="Times New Roman"/>
              </w:rPr>
              <w:t>being</w:t>
            </w:r>
            <w:proofErr w:type="spellEnd"/>
            <w:r w:rsidRPr="00C026F1">
              <w:rPr>
                <w:rFonts w:cs="Times New Roman"/>
              </w:rPr>
              <w:t xml:space="preserve"> a </w:t>
            </w:r>
            <w:proofErr w:type="spellStart"/>
            <w:r w:rsidRPr="00C026F1">
              <w:rPr>
                <w:rFonts w:cs="Times New Roman"/>
              </w:rPr>
              <w:t>function</w:t>
            </w:r>
            <w:proofErr w:type="spellEnd"/>
            <w:r w:rsidRPr="00C026F1">
              <w:rPr>
                <w:rFonts w:cs="Times New Roman"/>
              </w:rPr>
              <w:t xml:space="preserve"> </w:t>
            </w:r>
            <w:proofErr w:type="spellStart"/>
            <w:r w:rsidRPr="00C026F1">
              <w:rPr>
                <w:rFonts w:cs="Times New Roman"/>
              </w:rPr>
              <w:t>of</w:t>
            </w:r>
            <w:proofErr w:type="spellEnd"/>
            <w:r w:rsidRPr="00C026F1">
              <w:rPr>
                <w:rFonts w:cs="Times New Roman"/>
              </w:rPr>
              <w:t xml:space="preserve"> </w:t>
            </w:r>
            <w:proofErr w:type="spellStart"/>
            <w:r w:rsidRPr="00C026F1">
              <w:rPr>
                <w:rFonts w:cs="Times New Roman"/>
              </w:rPr>
              <w:t>volatility</w:t>
            </w:r>
            <w:proofErr w:type="spellEnd"/>
            <w:r w:rsidRPr="00C026F1">
              <w:rPr>
                <w:rFonts w:cs="Times New Roman"/>
              </w:rPr>
              <w:t>.</w:t>
            </w:r>
          </w:p>
          <w:p w14:paraId="5791590B" w14:textId="77777777" w:rsidR="00472318" w:rsidRDefault="00472318" w:rsidP="00B41EB5">
            <w:pPr>
              <w:rPr>
                <w:rFonts w:cstheme="minorHAnsi"/>
                <w:color w:val="000000" w:themeColor="text1"/>
                <w:lang w:val="en-US"/>
              </w:rPr>
            </w:pPr>
          </w:p>
          <w:p w14:paraId="2D4C9D5A" w14:textId="0A4A1842" w:rsidR="00472318" w:rsidRPr="009D1F3B" w:rsidRDefault="00472318" w:rsidP="00B41EB5">
            <w:pPr>
              <w:rPr>
                <w:rFonts w:cstheme="minorHAnsi"/>
                <w:color w:val="000000" w:themeColor="text1"/>
                <w:lang w:val="en-US"/>
              </w:rPr>
            </w:pPr>
          </w:p>
        </w:tc>
        <w:tc>
          <w:tcPr>
            <w:tcW w:w="4449" w:type="dxa"/>
          </w:tcPr>
          <w:p w14:paraId="35370C30" w14:textId="77777777" w:rsidR="001006E3" w:rsidRPr="003B7CE7" w:rsidRDefault="001006E3" w:rsidP="00B41EB5">
            <w:pPr>
              <w:rPr>
                <w:rFonts w:cs="Times New Roman"/>
                <w:lang w:val="en-CA"/>
              </w:rPr>
            </w:pPr>
          </w:p>
          <w:p w14:paraId="4F43FC70" w14:textId="77777777" w:rsidR="00472318" w:rsidRDefault="001006E3" w:rsidP="00B41EB5">
            <w:pPr>
              <w:rPr>
                <w:rFonts w:cs="Times New Roman"/>
                <w:lang w:val="fr-FR"/>
              </w:rPr>
            </w:pPr>
            <w:r w:rsidRPr="00902076">
              <w:rPr>
                <w:rFonts w:cs="Times New Roman"/>
                <w:lang w:val="fr-FR"/>
              </w:rPr>
              <w:t xml:space="preserve">Une amélioration de l'environnement économique pour les entreprises formelles et informelles et la manière selon laquelle le secteur public est géré pourrait aussitôt libérer un potentiel économique en stimulant l'activité du secteur privé ou en renforçant le rendement des investissements publics et des prestations de services. Une approche qui cible directement le citoyen et qui s'oriente davantage vers des primes aux résultats par opposition à une contribution se révèle prometteuse. Elle renforce les initiatives </w:t>
            </w:r>
            <w:r w:rsidRPr="00902076">
              <w:rPr>
                <w:rFonts w:cs="Times New Roman"/>
                <w:lang w:val="fr-FR"/>
              </w:rPr>
              <w:lastRenderedPageBreak/>
              <w:t>locales et la prise de décision, permet d'augmenter les revenus locaux et l'autonomie, améliore l'accès à l'information, et dynamise les prestations de services pour quiconque en est capable. Une telle approche permettrait de renforcer la propriété, une condition préalable à la stabilité et d'éloigner les intérêts des décideurs et organismes de développement d'un modèle économique centralisé et dirigé par l'</w:t>
            </w:r>
            <w:r>
              <w:rPr>
                <w:rFonts w:cs="Times New Roman"/>
                <w:lang w:val="fr-FR"/>
              </w:rPr>
              <w:t>É</w:t>
            </w:r>
            <w:r w:rsidRPr="00902076">
              <w:rPr>
                <w:rFonts w:cs="Times New Roman"/>
                <w:lang w:val="fr-FR"/>
              </w:rPr>
              <w:t>tat. À plus long terme, un processus de transformation structurelle classique pourrait accélérer les mécanismes de réduction de la pauvreté. Ce processus débute par une augmentation de la productivité de l'agriculture (denrée</w:t>
            </w:r>
            <w:r>
              <w:rPr>
                <w:rFonts w:cs="Times New Roman"/>
                <w:lang w:val="fr-FR"/>
              </w:rPr>
              <w:t>s</w:t>
            </w:r>
            <w:r w:rsidRPr="00902076">
              <w:rPr>
                <w:rFonts w:cs="Times New Roman"/>
                <w:lang w:val="fr-FR"/>
              </w:rPr>
              <w:t xml:space="preserve"> de base en particulier) et de l'élevage de bétail. L'augmentation de la production agricole aide à éliminer les variations de prix des denrées alimentaires, ce qui est favorable pour les plus pauvres qui sont le plus souvent des acheteurs nets de denrées alimentaires. Lorsque la part des consommateurs de denrées alimentaires s'accroît par rapport à celle des producteurs (en raison de la migration rurale-urbaine), les marchés deviennent plus importants, les secteurs non agricole</w:t>
            </w:r>
            <w:r>
              <w:rPr>
                <w:rFonts w:cs="Times New Roman"/>
                <w:lang w:val="fr-FR"/>
              </w:rPr>
              <w:t xml:space="preserve"> et </w:t>
            </w:r>
            <w:r w:rsidRPr="00902076">
              <w:rPr>
                <w:rFonts w:cs="Times New Roman"/>
                <w:lang w:val="fr-FR"/>
              </w:rPr>
              <w:t>agroalimentaire se développent, enfin la chaîne de valeur alimentaire et les liens entre le milieu rural et le milieu urbain sont renforcés. À mesure que les revenus ruraux augmentent, des effets de second ordre sont susceptibles d’émerger : le stock de capital humain et physique augmente à mesure que les ménages investissent une partie de leurs revenus accrus dans leur progéniture. Cela conduit à d’autres gains de productivité et à l’</w:t>
            </w:r>
            <w:r>
              <w:rPr>
                <w:rFonts w:cs="Times New Roman"/>
                <w:lang w:val="fr-FR"/>
              </w:rPr>
              <w:t>é</w:t>
            </w:r>
            <w:r w:rsidRPr="00902076">
              <w:rPr>
                <w:rFonts w:cs="Times New Roman"/>
                <w:lang w:val="fr-FR"/>
              </w:rPr>
              <w:t xml:space="preserve">migration des personnes (maintenant mieux éduquées). Il libère également la transition démographique, en partie parce que des revenus et des niveaux d’éducation plus élevés incitent les femmes à se marier plus tard, tandis que l’irrigation et la mécanisation accrues réduisent l’exposition aux chocs météorologiques et </w:t>
            </w:r>
            <w:r>
              <w:rPr>
                <w:rFonts w:cs="Times New Roman"/>
                <w:lang w:val="fr-FR"/>
              </w:rPr>
              <w:t xml:space="preserve">à </w:t>
            </w:r>
            <w:r w:rsidRPr="00902076">
              <w:rPr>
                <w:rFonts w:cs="Times New Roman"/>
                <w:lang w:val="fr-FR"/>
              </w:rPr>
              <w:t>la dépendance au travail familial.</w:t>
            </w:r>
          </w:p>
          <w:p w14:paraId="4D047B37" w14:textId="77777777" w:rsidR="003B7CE7" w:rsidRDefault="003B7CE7" w:rsidP="00B41EB5">
            <w:pPr>
              <w:rPr>
                <w:rFonts w:cs="Times New Roman"/>
                <w:color w:val="000000" w:themeColor="text1"/>
                <w:lang w:val="fr-FR"/>
              </w:rPr>
            </w:pPr>
          </w:p>
          <w:p w14:paraId="1E2EC800" w14:textId="77777777" w:rsidR="003B7CE7" w:rsidRDefault="003B7CE7" w:rsidP="00B41EB5">
            <w:pPr>
              <w:rPr>
                <w:rFonts w:cs="Times New Roman"/>
                <w:color w:val="000000" w:themeColor="text1"/>
                <w:lang w:val="fr-FR"/>
              </w:rPr>
            </w:pPr>
          </w:p>
          <w:p w14:paraId="4777548F" w14:textId="77777777" w:rsidR="003B7CE7" w:rsidRDefault="003B7CE7" w:rsidP="00B41EB5">
            <w:pPr>
              <w:rPr>
                <w:rFonts w:cs="Times New Roman"/>
                <w:color w:val="000000" w:themeColor="text1"/>
                <w:lang w:val="fr-FR"/>
              </w:rPr>
            </w:pPr>
          </w:p>
          <w:p w14:paraId="6EF4D504" w14:textId="77777777" w:rsidR="003B7CE7" w:rsidRDefault="003B7CE7" w:rsidP="00B41EB5">
            <w:pPr>
              <w:rPr>
                <w:rFonts w:cs="Times New Roman"/>
                <w:color w:val="000000" w:themeColor="text1"/>
                <w:lang w:val="fr-FR"/>
              </w:rPr>
            </w:pPr>
          </w:p>
          <w:p w14:paraId="6F3D484E" w14:textId="6C82A334" w:rsidR="003B7CE7" w:rsidRPr="001006E3" w:rsidRDefault="00EA56CB" w:rsidP="00B41EB5">
            <w:pPr>
              <w:rPr>
                <w:rFonts w:cstheme="minorHAnsi"/>
                <w:color w:val="000000" w:themeColor="text1"/>
                <w:lang w:val="fr-CA"/>
              </w:rPr>
            </w:pPr>
            <w:r w:rsidRPr="00C026F1">
              <w:rPr>
                <w:rFonts w:cs="Times New Roman"/>
                <w:lang w:val="fr-FR"/>
              </w:rPr>
              <w:t xml:space="preserve">La théorie de la dette souveraine postule un rôle clé, non seulement pour les niveaux d’indicateurs de solvabilité ou de liquidité, mais aussi pour leurs </w:t>
            </w:r>
            <w:r>
              <w:rPr>
                <w:rFonts w:cs="Times New Roman"/>
                <w:lang w:val="fr-FR"/>
              </w:rPr>
              <w:t>moments de second ordre</w:t>
            </w:r>
            <w:r w:rsidRPr="00C026F1">
              <w:rPr>
                <w:rFonts w:cs="Times New Roman"/>
                <w:lang w:val="fr-FR"/>
              </w:rPr>
              <w:t xml:space="preserve">, leur volatilité. Dans la version standard de leur article de 1981 sur les déterminants de la répudiation de la dette, Eaton et </w:t>
            </w:r>
            <w:proofErr w:type="spellStart"/>
            <w:r w:rsidRPr="00C026F1">
              <w:rPr>
                <w:rFonts w:cs="Times New Roman"/>
                <w:lang w:val="fr-FR"/>
              </w:rPr>
              <w:t>Gersovitz</w:t>
            </w:r>
            <w:proofErr w:type="spellEnd"/>
            <w:r w:rsidRPr="00C026F1">
              <w:rPr>
                <w:rFonts w:cs="Times New Roman"/>
                <w:lang w:val="fr-FR"/>
              </w:rPr>
              <w:t xml:space="preserve"> montrent que la volatilité macroéconomique joue un rôle dans la décision des états de faire défaut. Lorsque l’on suppose que les variations des revenus sont prévisibles et que les marchés financiers imposent strictement des sanctions aux </w:t>
            </w:r>
            <w:r>
              <w:rPr>
                <w:rFonts w:cs="Times New Roman"/>
                <w:lang w:val="fr-FR"/>
              </w:rPr>
              <w:t>emprunteurs défaillants</w:t>
            </w:r>
            <w:r w:rsidRPr="00C026F1">
              <w:rPr>
                <w:rFonts w:cs="Times New Roman"/>
                <w:lang w:val="fr-FR"/>
              </w:rPr>
              <w:t xml:space="preserve"> en restreignant l’accès futur au crédit, une volatilité accrue des revenus réduit l’incitation au défaut de paiement en empêchant les pays </w:t>
            </w:r>
            <w:r>
              <w:rPr>
                <w:rFonts w:cs="Times New Roman"/>
                <w:lang w:val="fr-FR"/>
              </w:rPr>
              <w:t>d’ajuster</w:t>
            </w:r>
            <w:r w:rsidRPr="00C026F1">
              <w:rPr>
                <w:rFonts w:cs="Times New Roman"/>
                <w:lang w:val="fr-FR"/>
              </w:rPr>
              <w:t xml:space="preserve"> leur consommation par le biais d’emprunts internationaux une fois qu’ils font défaut. Toutes choses </w:t>
            </w:r>
            <w:r>
              <w:rPr>
                <w:rFonts w:cs="Times New Roman"/>
                <w:lang w:val="fr-FR"/>
              </w:rPr>
              <w:t>égales par ailleurs</w:t>
            </w:r>
            <w:r w:rsidRPr="00C026F1">
              <w:rPr>
                <w:rFonts w:cs="Times New Roman"/>
                <w:lang w:val="fr-FR"/>
              </w:rPr>
              <w:t xml:space="preserve">, l’incidence du défaut de paiement devrait être plus faible dans les pays où la volatilité des revenus est plus élevée. Toutefois, si les variations de revenu sont stochastiques, le document montre qu’une succession imprévisible de mauvais chocs peut </w:t>
            </w:r>
            <w:r>
              <w:rPr>
                <w:rFonts w:cs="Times New Roman"/>
                <w:lang w:val="fr-FR"/>
              </w:rPr>
              <w:t>rendre</w:t>
            </w:r>
            <w:r w:rsidRPr="00C026F1">
              <w:rPr>
                <w:rFonts w:cs="Times New Roman"/>
                <w:lang w:val="fr-FR"/>
              </w:rPr>
              <w:t xml:space="preserve"> l’utilité marginale nette de défaut positi</w:t>
            </w:r>
            <w:r>
              <w:rPr>
                <w:rFonts w:cs="Times New Roman"/>
                <w:lang w:val="fr-FR"/>
              </w:rPr>
              <w:t>ve</w:t>
            </w:r>
            <w:r w:rsidRPr="00C026F1">
              <w:rPr>
                <w:rFonts w:cs="Times New Roman"/>
                <w:lang w:val="fr-FR"/>
              </w:rPr>
              <w:t xml:space="preserve">. La relation entre la volatilité et </w:t>
            </w:r>
            <w:r w:rsidR="00807CAD">
              <w:rPr>
                <w:rFonts w:cs="Times New Roman"/>
                <w:lang w:val="fr-FR"/>
              </w:rPr>
              <w:t>l</w:t>
            </w:r>
            <w:r w:rsidR="00C00610">
              <w:rPr>
                <w:rFonts w:cs="Times New Roman"/>
                <w:lang w:val="fr-FR"/>
              </w:rPr>
              <w:t>’insolvabilité</w:t>
            </w:r>
            <w:r w:rsidRPr="00C026F1">
              <w:rPr>
                <w:rFonts w:cs="Times New Roman"/>
                <w:lang w:val="fr-FR"/>
              </w:rPr>
              <w:t xml:space="preserve"> dépend de l’équilibre relatif entre la volonté de payer du pays et sa capacité </w:t>
            </w:r>
            <w:r>
              <w:rPr>
                <w:rFonts w:cs="Times New Roman"/>
                <w:lang w:val="fr-FR"/>
              </w:rPr>
              <w:t>à</w:t>
            </w:r>
            <w:r w:rsidRPr="00C026F1">
              <w:rPr>
                <w:rFonts w:cs="Times New Roman"/>
                <w:lang w:val="fr-FR"/>
              </w:rPr>
              <w:t xml:space="preserve"> payer, les deux étant fonction de la volatilité.</w:t>
            </w:r>
          </w:p>
        </w:tc>
      </w:tr>
    </w:tbl>
    <w:p w14:paraId="273A4F89" w14:textId="00DA78EE" w:rsidR="00BA77C8" w:rsidRPr="001006E3" w:rsidRDefault="00BA77C8" w:rsidP="00472318">
      <w:pPr>
        <w:jc w:val="center"/>
        <w:rPr>
          <w:rFonts w:cstheme="minorHAnsi"/>
          <w:color w:val="000000" w:themeColor="text1"/>
          <w:lang w:val="fr-CA"/>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lastRenderedPageBreak/>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027599" w:rsidRPr="002169F4" w14:paraId="4E936DDB" w14:textId="77777777" w:rsidTr="009657B8">
        <w:trPr>
          <w:cantSplit/>
          <w:jc w:val="center"/>
        </w:trPr>
        <w:tc>
          <w:tcPr>
            <w:tcW w:w="3024" w:type="dxa"/>
          </w:tcPr>
          <w:tbl>
            <w:tblPr>
              <w:tblW w:w="6340" w:type="dxa"/>
              <w:tblLayout w:type="fixed"/>
              <w:tblCellMar>
                <w:left w:w="0" w:type="dxa"/>
                <w:right w:w="0" w:type="dxa"/>
              </w:tblCellMar>
              <w:tblLook w:val="04A0" w:firstRow="1" w:lastRow="0" w:firstColumn="1" w:lastColumn="0" w:noHBand="0" w:noVBand="1"/>
            </w:tblPr>
            <w:tblGrid>
              <w:gridCol w:w="2920"/>
              <w:gridCol w:w="3420"/>
            </w:tblGrid>
            <w:tr w:rsidR="00027599" w:rsidRPr="003F50BD" w14:paraId="093D0804" w14:textId="77777777" w:rsidTr="00DC0401">
              <w:trPr>
                <w:trHeight w:val="315"/>
              </w:trPr>
              <w:tc>
                <w:tcPr>
                  <w:tcW w:w="2920" w:type="dxa"/>
                  <w:tcBorders>
                    <w:top w:val="nil"/>
                    <w:left w:val="nil"/>
                    <w:bottom w:val="nil"/>
                    <w:right w:val="nil"/>
                  </w:tcBorders>
                  <w:shd w:val="clear" w:color="auto" w:fill="auto"/>
                  <w:noWrap/>
                  <w:tcMar>
                    <w:top w:w="15" w:type="dxa"/>
                    <w:left w:w="15" w:type="dxa"/>
                    <w:bottom w:w="0" w:type="dxa"/>
                    <w:right w:w="15" w:type="dxa"/>
                  </w:tcMar>
                  <w:vAlign w:val="bottom"/>
                  <w:hideMark/>
                </w:tcPr>
                <w:p w14:paraId="4373FC5D" w14:textId="77777777" w:rsidR="00027599" w:rsidRPr="003F50BD" w:rsidRDefault="00027599" w:rsidP="00027599">
                  <w:pPr>
                    <w:rPr>
                      <w:color w:val="000000"/>
                    </w:rPr>
                  </w:pPr>
                  <w:r w:rsidRPr="003F50BD">
                    <w:rPr>
                      <w:color w:val="000000"/>
                    </w:rPr>
                    <w:t xml:space="preserve">Formal and informal </w:t>
                  </w:r>
                  <w:proofErr w:type="spellStart"/>
                  <w:r w:rsidRPr="003F50BD">
                    <w:rPr>
                      <w:color w:val="000000"/>
                    </w:rPr>
                    <w:t>enterprises</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hideMark/>
                </w:tcPr>
                <w:p w14:paraId="53A55865" w14:textId="77777777" w:rsidR="00027599" w:rsidRPr="003F50BD" w:rsidRDefault="00027599" w:rsidP="00027599">
                  <w:pPr>
                    <w:rPr>
                      <w:color w:val="000000"/>
                    </w:rPr>
                  </w:pPr>
                  <w:r w:rsidRPr="003F50BD">
                    <w:rPr>
                      <w:color w:val="000000"/>
                      <w:lang w:val="fr-FR"/>
                    </w:rPr>
                    <w:t>Entreprises formelles et informelles</w:t>
                  </w:r>
                </w:p>
              </w:tc>
            </w:tr>
          </w:tbl>
          <w:p w14:paraId="16ACC2D0" w14:textId="77777777" w:rsidR="00027599" w:rsidRPr="002169F4" w:rsidRDefault="00027599" w:rsidP="00027599">
            <w:pPr>
              <w:pStyle w:val="Table-Body"/>
              <w:rPr>
                <w:noProof w:val="0"/>
                <w:lang w:val="en-US"/>
              </w:rPr>
            </w:pPr>
          </w:p>
        </w:tc>
        <w:tc>
          <w:tcPr>
            <w:tcW w:w="3024" w:type="dxa"/>
          </w:tcPr>
          <w:tbl>
            <w:tblPr>
              <w:tblW w:w="6340" w:type="dxa"/>
              <w:tblLayout w:type="fixed"/>
              <w:tblCellMar>
                <w:left w:w="0" w:type="dxa"/>
                <w:right w:w="0" w:type="dxa"/>
              </w:tblCellMar>
              <w:tblLook w:val="04A0" w:firstRow="1" w:lastRow="0" w:firstColumn="1" w:lastColumn="0" w:noHBand="0" w:noVBand="1"/>
            </w:tblPr>
            <w:tblGrid>
              <w:gridCol w:w="2920"/>
              <w:gridCol w:w="3420"/>
            </w:tblGrid>
            <w:tr w:rsidR="00027599" w:rsidRPr="003F50BD" w14:paraId="6901B6F9" w14:textId="77777777" w:rsidTr="00DC0401">
              <w:trPr>
                <w:trHeight w:val="315"/>
              </w:trPr>
              <w:tc>
                <w:tcPr>
                  <w:tcW w:w="2920" w:type="dxa"/>
                  <w:tcBorders>
                    <w:top w:val="nil"/>
                    <w:left w:val="nil"/>
                    <w:bottom w:val="nil"/>
                    <w:right w:val="nil"/>
                  </w:tcBorders>
                  <w:shd w:val="clear" w:color="auto" w:fill="auto"/>
                  <w:noWrap/>
                  <w:tcMar>
                    <w:top w:w="15" w:type="dxa"/>
                    <w:left w:w="15" w:type="dxa"/>
                    <w:bottom w:w="0" w:type="dxa"/>
                    <w:right w:w="15" w:type="dxa"/>
                  </w:tcMar>
                  <w:vAlign w:val="bottom"/>
                  <w:hideMark/>
                </w:tcPr>
                <w:p w14:paraId="05693575" w14:textId="79F75FED" w:rsidR="00027599" w:rsidRPr="003F50BD" w:rsidRDefault="00C964A6" w:rsidP="00027599">
                  <w:pPr>
                    <w:rPr>
                      <w:color w:val="000000"/>
                    </w:rPr>
                  </w:pPr>
                  <w:proofErr w:type="spellStart"/>
                  <w:r w:rsidRPr="00C964A6">
                    <w:rPr>
                      <w:color w:val="000000"/>
                    </w:rPr>
                    <w:t>Entreprises</w:t>
                  </w:r>
                  <w:proofErr w:type="spellEnd"/>
                  <w:r w:rsidRPr="00C964A6">
                    <w:rPr>
                      <w:color w:val="000000"/>
                    </w:rPr>
                    <w:t xml:space="preserve"> </w:t>
                  </w:r>
                  <w:proofErr w:type="spellStart"/>
                  <w:r w:rsidRPr="00C964A6">
                    <w:rPr>
                      <w:color w:val="000000"/>
                    </w:rPr>
                    <w:t>formelles</w:t>
                  </w:r>
                  <w:proofErr w:type="spellEnd"/>
                  <w:r w:rsidRPr="00C964A6">
                    <w:rPr>
                      <w:color w:val="000000"/>
                    </w:rPr>
                    <w:t xml:space="preserve"> et </w:t>
                  </w:r>
                  <w:proofErr w:type="spellStart"/>
                  <w:r w:rsidRPr="00C964A6">
                    <w:rPr>
                      <w:color w:val="000000"/>
                    </w:rPr>
                    <w:t>informelles</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hideMark/>
                </w:tcPr>
                <w:p w14:paraId="30347F3B" w14:textId="77777777" w:rsidR="00027599" w:rsidRPr="003F50BD" w:rsidRDefault="00027599" w:rsidP="00027599">
                  <w:pPr>
                    <w:rPr>
                      <w:color w:val="000000"/>
                    </w:rPr>
                  </w:pPr>
                  <w:r w:rsidRPr="003F50BD">
                    <w:rPr>
                      <w:color w:val="000000"/>
                      <w:lang w:val="fr-FR"/>
                    </w:rPr>
                    <w:t>Entreprises formelles et informelles</w:t>
                  </w:r>
                </w:p>
              </w:tc>
            </w:tr>
          </w:tbl>
          <w:p w14:paraId="7CBA6972" w14:textId="77777777" w:rsidR="00027599" w:rsidRPr="002169F4" w:rsidRDefault="00027599" w:rsidP="00027599">
            <w:pPr>
              <w:pStyle w:val="Table-Body"/>
              <w:rPr>
                <w:noProof w:val="0"/>
                <w:lang w:val="en-US"/>
              </w:rPr>
            </w:pPr>
          </w:p>
        </w:tc>
        <w:tc>
          <w:tcPr>
            <w:tcW w:w="3024" w:type="dxa"/>
          </w:tcPr>
          <w:p w14:paraId="166C29FC" w14:textId="60322B75" w:rsidR="00027599" w:rsidRPr="002169F4" w:rsidRDefault="00F656A2" w:rsidP="00027599">
            <w:pPr>
              <w:pStyle w:val="Table-Body"/>
              <w:rPr>
                <w:noProof w:val="0"/>
                <w:lang w:val="en-US"/>
              </w:rPr>
            </w:pPr>
            <w:r>
              <w:rPr>
                <w:noProof w:val="0"/>
                <w:lang w:val="en-US"/>
              </w:rPr>
              <w:t xml:space="preserve">Concept that </w:t>
            </w:r>
            <w:proofErr w:type="gramStart"/>
            <w:r>
              <w:rPr>
                <w:noProof w:val="0"/>
                <w:lang w:val="en-US"/>
              </w:rPr>
              <w:t>has to</w:t>
            </w:r>
            <w:proofErr w:type="gramEnd"/>
            <w:r>
              <w:rPr>
                <w:noProof w:val="0"/>
                <w:lang w:val="en-US"/>
              </w:rPr>
              <w:t xml:space="preserve"> be check</w:t>
            </w:r>
            <w:r w:rsidR="00962D27">
              <w:rPr>
                <w:noProof w:val="0"/>
                <w:lang w:val="en-US"/>
              </w:rPr>
              <w:t>ed before translation</w:t>
            </w:r>
          </w:p>
        </w:tc>
      </w:tr>
      <w:tr w:rsidR="00720C57" w:rsidRPr="002169F4" w14:paraId="4DF1136B" w14:textId="77777777" w:rsidTr="009657B8">
        <w:trPr>
          <w:cantSplit/>
          <w:jc w:val="center"/>
        </w:trPr>
        <w:tc>
          <w:tcPr>
            <w:tcW w:w="3024" w:type="dxa"/>
          </w:tcPr>
          <w:tbl>
            <w:tblPr>
              <w:tblW w:w="6340" w:type="dxa"/>
              <w:tblLayout w:type="fixed"/>
              <w:tblCellMar>
                <w:left w:w="0" w:type="dxa"/>
                <w:right w:w="0" w:type="dxa"/>
              </w:tblCellMar>
              <w:tblLook w:val="04A0" w:firstRow="1" w:lastRow="0" w:firstColumn="1" w:lastColumn="0" w:noHBand="0" w:noVBand="1"/>
            </w:tblPr>
            <w:tblGrid>
              <w:gridCol w:w="2920"/>
              <w:gridCol w:w="3420"/>
            </w:tblGrid>
            <w:tr w:rsidR="00720C57" w:rsidRPr="00F823E9" w14:paraId="7941A802" w14:textId="77777777" w:rsidTr="00216873">
              <w:trPr>
                <w:trHeight w:val="315"/>
              </w:trPr>
              <w:tc>
                <w:tcPr>
                  <w:tcW w:w="2920" w:type="dxa"/>
                  <w:tcBorders>
                    <w:top w:val="nil"/>
                    <w:left w:val="nil"/>
                    <w:bottom w:val="nil"/>
                    <w:right w:val="nil"/>
                  </w:tcBorders>
                  <w:shd w:val="clear" w:color="auto" w:fill="auto"/>
                  <w:noWrap/>
                  <w:tcMar>
                    <w:top w:w="15" w:type="dxa"/>
                    <w:left w:w="15" w:type="dxa"/>
                    <w:bottom w:w="0" w:type="dxa"/>
                    <w:right w:w="15" w:type="dxa"/>
                  </w:tcMar>
                  <w:vAlign w:val="bottom"/>
                  <w:hideMark/>
                </w:tcPr>
                <w:p w14:paraId="52B164B8" w14:textId="77777777" w:rsidR="00720C57" w:rsidRPr="00F823E9" w:rsidRDefault="00720C57" w:rsidP="00720C57">
                  <w:pPr>
                    <w:rPr>
                      <w:color w:val="000000"/>
                    </w:rPr>
                  </w:pPr>
                  <w:proofErr w:type="spellStart"/>
                  <w:r w:rsidRPr="00F823E9">
                    <w:rPr>
                      <w:color w:val="000000"/>
                    </w:rPr>
                    <w:t>Second</w:t>
                  </w:r>
                  <w:proofErr w:type="spellEnd"/>
                  <w:r w:rsidRPr="00F823E9">
                    <w:rPr>
                      <w:color w:val="000000"/>
                    </w:rPr>
                    <w:t xml:space="preserve"> </w:t>
                  </w:r>
                  <w:proofErr w:type="spellStart"/>
                  <w:r w:rsidRPr="00F823E9">
                    <w:rPr>
                      <w:color w:val="000000"/>
                    </w:rPr>
                    <w:t>moments</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hideMark/>
                </w:tcPr>
                <w:p w14:paraId="7A71C28E" w14:textId="77777777" w:rsidR="00720C57" w:rsidRPr="00F823E9" w:rsidRDefault="00720C57" w:rsidP="00720C57">
                  <w:pPr>
                    <w:rPr>
                      <w:color w:val="000000"/>
                    </w:rPr>
                  </w:pPr>
                  <w:r w:rsidRPr="00F823E9">
                    <w:rPr>
                      <w:color w:val="000000"/>
                      <w:lang w:val="fr-FR"/>
                    </w:rPr>
                    <w:t>Moments de second ordre</w:t>
                  </w:r>
                </w:p>
              </w:tc>
            </w:tr>
          </w:tbl>
          <w:p w14:paraId="08EA4513" w14:textId="77777777" w:rsidR="00720C57" w:rsidRPr="002169F4" w:rsidRDefault="00720C57" w:rsidP="00720C57">
            <w:pPr>
              <w:pStyle w:val="Table-Body"/>
              <w:rPr>
                <w:noProof w:val="0"/>
                <w:lang w:val="en-US"/>
              </w:rPr>
            </w:pPr>
          </w:p>
        </w:tc>
        <w:tc>
          <w:tcPr>
            <w:tcW w:w="3024" w:type="dxa"/>
          </w:tcPr>
          <w:tbl>
            <w:tblPr>
              <w:tblW w:w="6340" w:type="dxa"/>
              <w:tblLayout w:type="fixed"/>
              <w:tblCellMar>
                <w:left w:w="0" w:type="dxa"/>
                <w:right w:w="0" w:type="dxa"/>
              </w:tblCellMar>
              <w:tblLook w:val="04A0" w:firstRow="1" w:lastRow="0" w:firstColumn="1" w:lastColumn="0" w:noHBand="0" w:noVBand="1"/>
            </w:tblPr>
            <w:tblGrid>
              <w:gridCol w:w="2920"/>
              <w:gridCol w:w="3420"/>
            </w:tblGrid>
            <w:tr w:rsidR="00720C57" w:rsidRPr="00F823E9" w14:paraId="4517588E" w14:textId="77777777" w:rsidTr="00216873">
              <w:trPr>
                <w:trHeight w:val="315"/>
              </w:trPr>
              <w:tc>
                <w:tcPr>
                  <w:tcW w:w="2920" w:type="dxa"/>
                  <w:tcBorders>
                    <w:top w:val="nil"/>
                    <w:left w:val="nil"/>
                    <w:bottom w:val="nil"/>
                    <w:right w:val="nil"/>
                  </w:tcBorders>
                  <w:shd w:val="clear" w:color="auto" w:fill="auto"/>
                  <w:noWrap/>
                  <w:tcMar>
                    <w:top w:w="15" w:type="dxa"/>
                    <w:left w:w="15" w:type="dxa"/>
                    <w:bottom w:w="0" w:type="dxa"/>
                    <w:right w:w="15" w:type="dxa"/>
                  </w:tcMar>
                  <w:vAlign w:val="bottom"/>
                  <w:hideMark/>
                </w:tcPr>
                <w:p w14:paraId="66D7609E" w14:textId="6AEB8028" w:rsidR="00720C57" w:rsidRPr="00F823E9" w:rsidRDefault="007A6EA7" w:rsidP="00720C57">
                  <w:pPr>
                    <w:rPr>
                      <w:color w:val="000000"/>
                    </w:rPr>
                  </w:pPr>
                  <w:proofErr w:type="spellStart"/>
                  <w:r w:rsidRPr="007A6EA7">
                    <w:rPr>
                      <w:color w:val="000000"/>
                    </w:rPr>
                    <w:t>Moments</w:t>
                  </w:r>
                  <w:proofErr w:type="spellEnd"/>
                  <w:r w:rsidRPr="007A6EA7">
                    <w:rPr>
                      <w:color w:val="000000"/>
                    </w:rPr>
                    <w:t xml:space="preserve"> de </w:t>
                  </w:r>
                  <w:proofErr w:type="spellStart"/>
                  <w:r w:rsidRPr="007A6EA7">
                    <w:rPr>
                      <w:color w:val="000000"/>
                    </w:rPr>
                    <w:t>second</w:t>
                  </w:r>
                  <w:proofErr w:type="spellEnd"/>
                  <w:r w:rsidRPr="007A6EA7">
                    <w:rPr>
                      <w:color w:val="000000"/>
                    </w:rPr>
                    <w:t xml:space="preserve"> </w:t>
                  </w:r>
                  <w:proofErr w:type="spellStart"/>
                  <w:r w:rsidRPr="007A6EA7">
                    <w:rPr>
                      <w:color w:val="000000"/>
                    </w:rPr>
                    <w:t>ordre</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hideMark/>
                </w:tcPr>
                <w:p w14:paraId="6FA26C08" w14:textId="77777777" w:rsidR="00720C57" w:rsidRPr="00F823E9" w:rsidRDefault="00720C57" w:rsidP="00720C57">
                  <w:pPr>
                    <w:rPr>
                      <w:color w:val="000000"/>
                    </w:rPr>
                  </w:pPr>
                  <w:r w:rsidRPr="00F823E9">
                    <w:rPr>
                      <w:color w:val="000000"/>
                      <w:lang w:val="fr-FR"/>
                    </w:rPr>
                    <w:t>Moments de second ordre</w:t>
                  </w:r>
                </w:p>
              </w:tc>
            </w:tr>
          </w:tbl>
          <w:p w14:paraId="1E68AD91" w14:textId="77777777" w:rsidR="00720C57" w:rsidRPr="002169F4" w:rsidRDefault="00720C57" w:rsidP="00720C57">
            <w:pPr>
              <w:pStyle w:val="Table-Body"/>
              <w:rPr>
                <w:noProof w:val="0"/>
                <w:lang w:val="en-US"/>
              </w:rPr>
            </w:pPr>
          </w:p>
        </w:tc>
        <w:tc>
          <w:tcPr>
            <w:tcW w:w="3024" w:type="dxa"/>
          </w:tcPr>
          <w:p w14:paraId="30D747FA" w14:textId="1FA409B1" w:rsidR="00720C57" w:rsidRPr="002169F4" w:rsidRDefault="00962D27" w:rsidP="00720C57">
            <w:pPr>
              <w:pStyle w:val="Table-Body"/>
              <w:rPr>
                <w:noProof w:val="0"/>
                <w:lang w:val="en-US"/>
              </w:rPr>
            </w:pPr>
            <w:r>
              <w:rPr>
                <w:noProof w:val="0"/>
                <w:lang w:val="en-US"/>
              </w:rPr>
              <w:t xml:space="preserve">Concept that </w:t>
            </w:r>
            <w:proofErr w:type="gramStart"/>
            <w:r>
              <w:rPr>
                <w:noProof w:val="0"/>
                <w:lang w:val="en-US"/>
              </w:rPr>
              <w:t>has to</w:t>
            </w:r>
            <w:proofErr w:type="gramEnd"/>
            <w:r>
              <w:rPr>
                <w:noProof w:val="0"/>
                <w:lang w:val="en-US"/>
              </w:rPr>
              <w:t xml:space="preserve"> be checked before translation</w:t>
            </w:r>
          </w:p>
        </w:tc>
      </w:tr>
      <w:tr w:rsidR="00680A69" w:rsidRPr="002169F4" w14:paraId="0CD05816" w14:textId="77777777" w:rsidTr="009657B8">
        <w:trPr>
          <w:cantSplit/>
          <w:jc w:val="center"/>
        </w:trPr>
        <w:tc>
          <w:tcPr>
            <w:tcW w:w="3024" w:type="dxa"/>
          </w:tcPr>
          <w:tbl>
            <w:tblPr>
              <w:tblW w:w="6340" w:type="dxa"/>
              <w:tblLayout w:type="fixed"/>
              <w:tblCellMar>
                <w:left w:w="0" w:type="dxa"/>
                <w:right w:w="0" w:type="dxa"/>
              </w:tblCellMar>
              <w:tblLook w:val="04A0" w:firstRow="1" w:lastRow="0" w:firstColumn="1" w:lastColumn="0" w:noHBand="0" w:noVBand="1"/>
            </w:tblPr>
            <w:tblGrid>
              <w:gridCol w:w="2920"/>
              <w:gridCol w:w="3420"/>
            </w:tblGrid>
            <w:tr w:rsidR="00680A69" w:rsidRPr="00C541F2" w14:paraId="493DCBD4" w14:textId="77777777" w:rsidTr="00584CD0">
              <w:trPr>
                <w:trHeight w:val="315"/>
              </w:trPr>
              <w:tc>
                <w:tcPr>
                  <w:tcW w:w="2920" w:type="dxa"/>
                  <w:tcBorders>
                    <w:top w:val="nil"/>
                    <w:left w:val="nil"/>
                    <w:bottom w:val="nil"/>
                    <w:right w:val="nil"/>
                  </w:tcBorders>
                  <w:shd w:val="clear" w:color="auto" w:fill="auto"/>
                  <w:noWrap/>
                  <w:tcMar>
                    <w:top w:w="15" w:type="dxa"/>
                    <w:left w:w="15" w:type="dxa"/>
                    <w:bottom w:w="0" w:type="dxa"/>
                    <w:right w:w="15" w:type="dxa"/>
                  </w:tcMar>
                  <w:vAlign w:val="bottom"/>
                  <w:hideMark/>
                </w:tcPr>
                <w:p w14:paraId="5600D73E" w14:textId="77777777" w:rsidR="00680A69" w:rsidRPr="00C541F2" w:rsidRDefault="00680A69" w:rsidP="00680A69">
                  <w:pPr>
                    <w:rPr>
                      <w:rFonts w:ascii="Calibri" w:hAnsi="Calibri" w:cs="Calibri"/>
                      <w:color w:val="000000"/>
                    </w:rPr>
                  </w:pPr>
                  <w:proofErr w:type="spellStart"/>
                  <w:r w:rsidRPr="00C541F2">
                    <w:rPr>
                      <w:rFonts w:ascii="Calibri" w:hAnsi="Calibri" w:cs="Calibri"/>
                      <w:color w:val="000000"/>
                    </w:rPr>
                    <w:t>Theory</w:t>
                  </w:r>
                  <w:proofErr w:type="spellEnd"/>
                  <w:r w:rsidRPr="00C541F2">
                    <w:rPr>
                      <w:rFonts w:ascii="Calibri" w:hAnsi="Calibri" w:cs="Calibri"/>
                      <w:color w:val="000000"/>
                    </w:rPr>
                    <w:t xml:space="preserve"> </w:t>
                  </w:r>
                  <w:proofErr w:type="spellStart"/>
                  <w:r w:rsidRPr="00C541F2">
                    <w:rPr>
                      <w:rFonts w:ascii="Calibri" w:hAnsi="Calibri" w:cs="Calibri"/>
                      <w:color w:val="000000"/>
                    </w:rPr>
                    <w:t>of</w:t>
                  </w:r>
                  <w:proofErr w:type="spellEnd"/>
                  <w:r w:rsidRPr="00C541F2">
                    <w:rPr>
                      <w:rFonts w:ascii="Calibri" w:hAnsi="Calibri" w:cs="Calibri"/>
                      <w:color w:val="000000"/>
                    </w:rPr>
                    <w:t xml:space="preserve"> </w:t>
                  </w:r>
                  <w:proofErr w:type="spellStart"/>
                  <w:r w:rsidRPr="00C541F2">
                    <w:rPr>
                      <w:rFonts w:ascii="Calibri" w:hAnsi="Calibri" w:cs="Calibri"/>
                      <w:color w:val="000000"/>
                    </w:rPr>
                    <w:t>sovereign</w:t>
                  </w:r>
                  <w:proofErr w:type="spellEnd"/>
                  <w:r w:rsidRPr="00C541F2">
                    <w:rPr>
                      <w:rFonts w:ascii="Calibri" w:hAnsi="Calibri" w:cs="Calibri"/>
                      <w:color w:val="000000"/>
                    </w:rPr>
                    <w:t xml:space="preserve"> </w:t>
                  </w:r>
                  <w:proofErr w:type="spellStart"/>
                  <w:r w:rsidRPr="00C541F2">
                    <w:rPr>
                      <w:rFonts w:ascii="Calibri" w:hAnsi="Calibri" w:cs="Calibri"/>
                      <w:color w:val="000000"/>
                    </w:rPr>
                    <w:t>debt</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hideMark/>
                </w:tcPr>
                <w:p w14:paraId="794E3B17" w14:textId="77777777" w:rsidR="00680A69" w:rsidRPr="00C541F2" w:rsidRDefault="00680A69" w:rsidP="00680A69">
                  <w:pPr>
                    <w:rPr>
                      <w:rFonts w:ascii="Calibri" w:hAnsi="Calibri" w:cs="Calibri"/>
                      <w:color w:val="000000"/>
                    </w:rPr>
                  </w:pPr>
                  <w:r w:rsidRPr="00C541F2">
                    <w:rPr>
                      <w:rFonts w:ascii="Calibri" w:hAnsi="Calibri" w:cs="Calibri"/>
                      <w:color w:val="000000"/>
                      <w:lang w:val="fr-FR"/>
                    </w:rPr>
                    <w:t>Théorie de la dette souveraine</w:t>
                  </w:r>
                </w:p>
              </w:tc>
            </w:tr>
          </w:tbl>
          <w:p w14:paraId="3482C24B" w14:textId="77777777" w:rsidR="00680A69" w:rsidRPr="00680A69" w:rsidRDefault="00680A69" w:rsidP="00680A69">
            <w:pPr>
              <w:pStyle w:val="Table-Body"/>
              <w:rPr>
                <w:noProof w:val="0"/>
                <w:lang w:val="fr-CA"/>
              </w:rPr>
            </w:pPr>
          </w:p>
        </w:tc>
        <w:tc>
          <w:tcPr>
            <w:tcW w:w="3024" w:type="dxa"/>
          </w:tcPr>
          <w:tbl>
            <w:tblPr>
              <w:tblW w:w="6340" w:type="dxa"/>
              <w:tblLayout w:type="fixed"/>
              <w:tblCellMar>
                <w:left w:w="0" w:type="dxa"/>
                <w:right w:w="0" w:type="dxa"/>
              </w:tblCellMar>
              <w:tblLook w:val="04A0" w:firstRow="1" w:lastRow="0" w:firstColumn="1" w:lastColumn="0" w:noHBand="0" w:noVBand="1"/>
            </w:tblPr>
            <w:tblGrid>
              <w:gridCol w:w="2920"/>
              <w:gridCol w:w="3420"/>
            </w:tblGrid>
            <w:tr w:rsidR="00680A69" w:rsidRPr="00C541F2" w14:paraId="6B4AEA7B" w14:textId="77777777" w:rsidTr="00584CD0">
              <w:trPr>
                <w:trHeight w:val="315"/>
              </w:trPr>
              <w:tc>
                <w:tcPr>
                  <w:tcW w:w="2920" w:type="dxa"/>
                  <w:tcBorders>
                    <w:top w:val="nil"/>
                    <w:left w:val="nil"/>
                    <w:bottom w:val="nil"/>
                    <w:right w:val="nil"/>
                  </w:tcBorders>
                  <w:shd w:val="clear" w:color="auto" w:fill="auto"/>
                  <w:noWrap/>
                  <w:tcMar>
                    <w:top w:w="15" w:type="dxa"/>
                    <w:left w:w="15" w:type="dxa"/>
                    <w:bottom w:w="0" w:type="dxa"/>
                    <w:right w:w="15" w:type="dxa"/>
                  </w:tcMar>
                  <w:vAlign w:val="bottom"/>
                  <w:hideMark/>
                </w:tcPr>
                <w:p w14:paraId="62C16233" w14:textId="248B749F" w:rsidR="00680A69" w:rsidRPr="00C541F2" w:rsidRDefault="007A6EA7" w:rsidP="00680A69">
                  <w:pPr>
                    <w:rPr>
                      <w:rFonts w:ascii="Calibri" w:hAnsi="Calibri" w:cs="Calibri"/>
                      <w:color w:val="000000"/>
                    </w:rPr>
                  </w:pPr>
                  <w:proofErr w:type="spellStart"/>
                  <w:r w:rsidRPr="007A6EA7">
                    <w:rPr>
                      <w:rFonts w:ascii="Calibri" w:hAnsi="Calibri" w:cs="Calibri"/>
                      <w:color w:val="000000"/>
                    </w:rPr>
                    <w:t>Théorie</w:t>
                  </w:r>
                  <w:proofErr w:type="spellEnd"/>
                  <w:r w:rsidRPr="007A6EA7">
                    <w:rPr>
                      <w:rFonts w:ascii="Calibri" w:hAnsi="Calibri" w:cs="Calibri"/>
                      <w:color w:val="000000"/>
                    </w:rPr>
                    <w:t xml:space="preserve"> de la </w:t>
                  </w:r>
                  <w:proofErr w:type="spellStart"/>
                  <w:r w:rsidRPr="007A6EA7">
                    <w:rPr>
                      <w:rFonts w:ascii="Calibri" w:hAnsi="Calibri" w:cs="Calibri"/>
                      <w:color w:val="000000"/>
                    </w:rPr>
                    <w:t>dette</w:t>
                  </w:r>
                  <w:proofErr w:type="spellEnd"/>
                  <w:r w:rsidRPr="007A6EA7">
                    <w:rPr>
                      <w:rFonts w:ascii="Calibri" w:hAnsi="Calibri" w:cs="Calibri"/>
                      <w:color w:val="000000"/>
                    </w:rPr>
                    <w:t xml:space="preserve"> </w:t>
                  </w:r>
                  <w:proofErr w:type="spellStart"/>
                  <w:r w:rsidRPr="007A6EA7">
                    <w:rPr>
                      <w:rFonts w:ascii="Calibri" w:hAnsi="Calibri" w:cs="Calibri"/>
                      <w:color w:val="000000"/>
                    </w:rPr>
                    <w:t>souveraine</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hideMark/>
                </w:tcPr>
                <w:p w14:paraId="2FE124BB" w14:textId="77777777" w:rsidR="00680A69" w:rsidRPr="00C541F2" w:rsidRDefault="00680A69" w:rsidP="00680A69">
                  <w:pPr>
                    <w:rPr>
                      <w:rFonts w:ascii="Calibri" w:hAnsi="Calibri" w:cs="Calibri"/>
                      <w:color w:val="000000"/>
                    </w:rPr>
                  </w:pPr>
                  <w:r w:rsidRPr="00C541F2">
                    <w:rPr>
                      <w:rFonts w:ascii="Calibri" w:hAnsi="Calibri" w:cs="Calibri"/>
                      <w:color w:val="000000"/>
                      <w:lang w:val="fr-FR"/>
                    </w:rPr>
                    <w:t>Théorie de la dette souveraine</w:t>
                  </w:r>
                </w:p>
              </w:tc>
            </w:tr>
          </w:tbl>
          <w:p w14:paraId="17648998" w14:textId="77777777" w:rsidR="00680A69" w:rsidRPr="00680A69" w:rsidRDefault="00680A69" w:rsidP="00680A69">
            <w:pPr>
              <w:pStyle w:val="Table-Body"/>
              <w:rPr>
                <w:noProof w:val="0"/>
                <w:lang w:val="fr-CA"/>
              </w:rPr>
            </w:pPr>
          </w:p>
        </w:tc>
        <w:tc>
          <w:tcPr>
            <w:tcW w:w="3024" w:type="dxa"/>
          </w:tcPr>
          <w:p w14:paraId="06FF579A" w14:textId="587DF683" w:rsidR="00680A69" w:rsidRPr="00962D27" w:rsidRDefault="00962D27" w:rsidP="00680A69">
            <w:pPr>
              <w:pStyle w:val="Table-Body"/>
              <w:rPr>
                <w:noProof w:val="0"/>
                <w:lang w:val="en-CA"/>
              </w:rPr>
            </w:pPr>
            <w:r>
              <w:rPr>
                <w:noProof w:val="0"/>
                <w:lang w:val="en-US"/>
              </w:rPr>
              <w:t xml:space="preserve">Concept that </w:t>
            </w:r>
            <w:proofErr w:type="gramStart"/>
            <w:r>
              <w:rPr>
                <w:noProof w:val="0"/>
                <w:lang w:val="en-US"/>
              </w:rPr>
              <w:t>has to</w:t>
            </w:r>
            <w:proofErr w:type="gramEnd"/>
            <w:r>
              <w:rPr>
                <w:noProof w:val="0"/>
                <w:lang w:val="en-US"/>
              </w:rPr>
              <w:t xml:space="preserve"> be checked before translation</w:t>
            </w:r>
          </w:p>
        </w:tc>
      </w:tr>
      <w:tr w:rsidR="00730246" w:rsidRPr="002169F4" w14:paraId="7EDA03F2" w14:textId="77777777" w:rsidTr="009657B8">
        <w:trPr>
          <w:cantSplit/>
          <w:jc w:val="center"/>
        </w:trPr>
        <w:tc>
          <w:tcPr>
            <w:tcW w:w="3024" w:type="dxa"/>
          </w:tcPr>
          <w:tbl>
            <w:tblPr>
              <w:tblW w:w="6340" w:type="dxa"/>
              <w:tblLayout w:type="fixed"/>
              <w:tblCellMar>
                <w:left w:w="0" w:type="dxa"/>
                <w:right w:w="0" w:type="dxa"/>
              </w:tblCellMar>
              <w:tblLook w:val="04A0" w:firstRow="1" w:lastRow="0" w:firstColumn="1" w:lastColumn="0" w:noHBand="0" w:noVBand="1"/>
            </w:tblPr>
            <w:tblGrid>
              <w:gridCol w:w="2920"/>
              <w:gridCol w:w="3420"/>
            </w:tblGrid>
            <w:tr w:rsidR="00730246" w:rsidRPr="00B24BF6" w14:paraId="7F0C478B" w14:textId="77777777" w:rsidTr="009B5910">
              <w:trPr>
                <w:trHeight w:val="315"/>
              </w:trPr>
              <w:tc>
                <w:tcPr>
                  <w:tcW w:w="2920" w:type="dxa"/>
                  <w:tcBorders>
                    <w:top w:val="nil"/>
                    <w:left w:val="nil"/>
                    <w:bottom w:val="nil"/>
                    <w:right w:val="nil"/>
                  </w:tcBorders>
                  <w:shd w:val="clear" w:color="auto" w:fill="auto"/>
                  <w:noWrap/>
                  <w:tcMar>
                    <w:top w:w="15" w:type="dxa"/>
                    <w:left w:w="15" w:type="dxa"/>
                    <w:bottom w:w="0" w:type="dxa"/>
                    <w:right w:w="15" w:type="dxa"/>
                  </w:tcMar>
                  <w:vAlign w:val="bottom"/>
                  <w:hideMark/>
                </w:tcPr>
                <w:p w14:paraId="6F2D2955" w14:textId="77777777" w:rsidR="00730246" w:rsidRPr="00B24BF6" w:rsidRDefault="00730246" w:rsidP="00730246">
                  <w:pPr>
                    <w:rPr>
                      <w:color w:val="000000"/>
                    </w:rPr>
                  </w:pPr>
                  <w:proofErr w:type="spellStart"/>
                  <w:r w:rsidRPr="00B24BF6">
                    <w:rPr>
                      <w:color w:val="000000"/>
                    </w:rPr>
                    <w:t>Stochastic</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hideMark/>
                </w:tcPr>
                <w:p w14:paraId="3297A7C7" w14:textId="77777777" w:rsidR="00730246" w:rsidRPr="00B24BF6" w:rsidRDefault="00730246" w:rsidP="00730246">
                  <w:pPr>
                    <w:rPr>
                      <w:color w:val="000000"/>
                    </w:rPr>
                  </w:pPr>
                  <w:r w:rsidRPr="00B24BF6">
                    <w:rPr>
                      <w:color w:val="000000"/>
                      <w:lang w:val="fr-FR"/>
                    </w:rPr>
                    <w:t>Stochastique</w:t>
                  </w:r>
                </w:p>
              </w:tc>
            </w:tr>
          </w:tbl>
          <w:p w14:paraId="2FCFECC1" w14:textId="77777777" w:rsidR="00730246" w:rsidRPr="00680A69" w:rsidRDefault="00730246" w:rsidP="00730246">
            <w:pPr>
              <w:pStyle w:val="Table-Body"/>
              <w:rPr>
                <w:noProof w:val="0"/>
                <w:lang w:val="fr-CA"/>
              </w:rPr>
            </w:pPr>
          </w:p>
        </w:tc>
        <w:tc>
          <w:tcPr>
            <w:tcW w:w="3024" w:type="dxa"/>
          </w:tcPr>
          <w:tbl>
            <w:tblPr>
              <w:tblW w:w="6340" w:type="dxa"/>
              <w:tblLayout w:type="fixed"/>
              <w:tblCellMar>
                <w:left w:w="0" w:type="dxa"/>
                <w:right w:w="0" w:type="dxa"/>
              </w:tblCellMar>
              <w:tblLook w:val="04A0" w:firstRow="1" w:lastRow="0" w:firstColumn="1" w:lastColumn="0" w:noHBand="0" w:noVBand="1"/>
            </w:tblPr>
            <w:tblGrid>
              <w:gridCol w:w="2920"/>
              <w:gridCol w:w="3420"/>
            </w:tblGrid>
            <w:tr w:rsidR="00730246" w:rsidRPr="00B24BF6" w14:paraId="308814D5" w14:textId="77777777" w:rsidTr="009B5910">
              <w:trPr>
                <w:trHeight w:val="315"/>
              </w:trPr>
              <w:tc>
                <w:tcPr>
                  <w:tcW w:w="2920" w:type="dxa"/>
                  <w:tcBorders>
                    <w:top w:val="nil"/>
                    <w:left w:val="nil"/>
                    <w:bottom w:val="nil"/>
                    <w:right w:val="nil"/>
                  </w:tcBorders>
                  <w:shd w:val="clear" w:color="auto" w:fill="auto"/>
                  <w:noWrap/>
                  <w:tcMar>
                    <w:top w:w="15" w:type="dxa"/>
                    <w:left w:w="15" w:type="dxa"/>
                    <w:bottom w:w="0" w:type="dxa"/>
                    <w:right w:w="15" w:type="dxa"/>
                  </w:tcMar>
                  <w:vAlign w:val="bottom"/>
                  <w:hideMark/>
                </w:tcPr>
                <w:p w14:paraId="15219FED" w14:textId="2EBCAADC" w:rsidR="00730246" w:rsidRPr="00B24BF6" w:rsidRDefault="00730246" w:rsidP="00730246">
                  <w:pPr>
                    <w:rPr>
                      <w:color w:val="000000"/>
                    </w:rPr>
                  </w:pPr>
                  <w:proofErr w:type="spellStart"/>
                  <w:r w:rsidRPr="00B24BF6">
                    <w:rPr>
                      <w:color w:val="000000"/>
                    </w:rPr>
                    <w:t>Stochasti</w:t>
                  </w:r>
                  <w:r w:rsidR="0014327A">
                    <w:rPr>
                      <w:color w:val="000000"/>
                    </w:rPr>
                    <w:t>que</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hideMark/>
                </w:tcPr>
                <w:p w14:paraId="46010776" w14:textId="77777777" w:rsidR="00730246" w:rsidRPr="00B24BF6" w:rsidRDefault="00730246" w:rsidP="00730246">
                  <w:pPr>
                    <w:rPr>
                      <w:color w:val="000000"/>
                    </w:rPr>
                  </w:pPr>
                  <w:r w:rsidRPr="00B24BF6">
                    <w:rPr>
                      <w:color w:val="000000"/>
                      <w:lang w:val="fr-FR"/>
                    </w:rPr>
                    <w:t>Stochastique</w:t>
                  </w:r>
                </w:p>
              </w:tc>
            </w:tr>
          </w:tbl>
          <w:p w14:paraId="56BA7AC2" w14:textId="77777777" w:rsidR="00730246" w:rsidRPr="00680A69" w:rsidRDefault="00730246" w:rsidP="00730246">
            <w:pPr>
              <w:pStyle w:val="Table-Body"/>
              <w:rPr>
                <w:noProof w:val="0"/>
                <w:lang w:val="fr-CA"/>
              </w:rPr>
            </w:pPr>
          </w:p>
        </w:tc>
        <w:tc>
          <w:tcPr>
            <w:tcW w:w="3024" w:type="dxa"/>
          </w:tcPr>
          <w:p w14:paraId="4B044BBA" w14:textId="7366E976" w:rsidR="00730246" w:rsidRPr="00962D27" w:rsidRDefault="00962D27" w:rsidP="00730246">
            <w:pPr>
              <w:pStyle w:val="Table-Body"/>
              <w:rPr>
                <w:noProof w:val="0"/>
                <w:lang w:val="en-CA"/>
              </w:rPr>
            </w:pPr>
            <w:r>
              <w:rPr>
                <w:noProof w:val="0"/>
                <w:lang w:val="en-US"/>
              </w:rPr>
              <w:t xml:space="preserve">Concept that </w:t>
            </w:r>
            <w:proofErr w:type="gramStart"/>
            <w:r>
              <w:rPr>
                <w:noProof w:val="0"/>
                <w:lang w:val="en-US"/>
              </w:rPr>
              <w:t>has to</w:t>
            </w:r>
            <w:proofErr w:type="gramEnd"/>
            <w:r>
              <w:rPr>
                <w:noProof w:val="0"/>
                <w:lang w:val="en-US"/>
              </w:rPr>
              <w:t xml:space="preserve"> be checked before translation</w:t>
            </w:r>
          </w:p>
        </w:tc>
      </w:tr>
      <w:tr w:rsidR="00AA1783" w:rsidRPr="002169F4" w14:paraId="799BEA3E" w14:textId="77777777" w:rsidTr="009657B8">
        <w:trPr>
          <w:cantSplit/>
          <w:jc w:val="center"/>
        </w:trPr>
        <w:tc>
          <w:tcPr>
            <w:tcW w:w="3024" w:type="dxa"/>
          </w:tcPr>
          <w:tbl>
            <w:tblPr>
              <w:tblW w:w="6340" w:type="dxa"/>
              <w:tblLayout w:type="fixed"/>
              <w:tblCellMar>
                <w:left w:w="0" w:type="dxa"/>
                <w:right w:w="0" w:type="dxa"/>
              </w:tblCellMar>
              <w:tblLook w:val="04A0" w:firstRow="1" w:lastRow="0" w:firstColumn="1" w:lastColumn="0" w:noHBand="0" w:noVBand="1"/>
            </w:tblPr>
            <w:tblGrid>
              <w:gridCol w:w="2920"/>
              <w:gridCol w:w="3420"/>
            </w:tblGrid>
            <w:tr w:rsidR="00AA1783" w:rsidRPr="00201F52" w14:paraId="145796D1" w14:textId="77777777" w:rsidTr="00631176">
              <w:trPr>
                <w:trHeight w:val="315"/>
              </w:trPr>
              <w:tc>
                <w:tcPr>
                  <w:tcW w:w="2920" w:type="dxa"/>
                  <w:tcBorders>
                    <w:top w:val="nil"/>
                    <w:left w:val="nil"/>
                    <w:bottom w:val="nil"/>
                    <w:right w:val="nil"/>
                  </w:tcBorders>
                  <w:shd w:val="clear" w:color="auto" w:fill="auto"/>
                  <w:noWrap/>
                  <w:tcMar>
                    <w:top w:w="15" w:type="dxa"/>
                    <w:left w:w="15" w:type="dxa"/>
                    <w:bottom w:w="0" w:type="dxa"/>
                    <w:right w:w="15" w:type="dxa"/>
                  </w:tcMar>
                  <w:vAlign w:val="bottom"/>
                  <w:hideMark/>
                </w:tcPr>
                <w:p w14:paraId="323EA983" w14:textId="77777777" w:rsidR="00AA1783" w:rsidRPr="00201F52" w:rsidRDefault="00AA1783" w:rsidP="00AA1783">
                  <w:pPr>
                    <w:rPr>
                      <w:rFonts w:ascii="Calibri" w:hAnsi="Calibri" w:cs="Calibri"/>
                      <w:color w:val="000000"/>
                    </w:rPr>
                  </w:pPr>
                  <w:r w:rsidRPr="00201F52">
                    <w:rPr>
                      <w:rFonts w:ascii="Calibri" w:hAnsi="Calibri" w:cs="Calibri"/>
                      <w:color w:val="000000"/>
                    </w:rPr>
                    <w:t xml:space="preserve">Net marginal </w:t>
                  </w:r>
                  <w:proofErr w:type="spellStart"/>
                  <w:r w:rsidRPr="00201F52">
                    <w:rPr>
                      <w:rFonts w:ascii="Calibri" w:hAnsi="Calibri" w:cs="Calibri"/>
                      <w:color w:val="000000"/>
                    </w:rPr>
                    <w:t>utility</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hideMark/>
                </w:tcPr>
                <w:p w14:paraId="28F9DB1C" w14:textId="77777777" w:rsidR="00AA1783" w:rsidRPr="00201F52" w:rsidRDefault="00AA1783" w:rsidP="00AA1783">
                  <w:pPr>
                    <w:rPr>
                      <w:rFonts w:ascii="Calibri" w:hAnsi="Calibri" w:cs="Calibri"/>
                      <w:color w:val="000000"/>
                    </w:rPr>
                  </w:pPr>
                  <w:r w:rsidRPr="00201F52">
                    <w:rPr>
                      <w:rFonts w:ascii="Calibri" w:hAnsi="Calibri" w:cs="Calibri"/>
                      <w:color w:val="000000"/>
                      <w:lang w:val="fr-FR"/>
                    </w:rPr>
                    <w:t xml:space="preserve">Utilité marginale nette </w:t>
                  </w:r>
                </w:p>
              </w:tc>
            </w:tr>
          </w:tbl>
          <w:p w14:paraId="0CD651E7" w14:textId="77777777" w:rsidR="00AA1783" w:rsidRPr="00680A69" w:rsidRDefault="00AA1783" w:rsidP="00AA1783">
            <w:pPr>
              <w:pStyle w:val="Table-Body"/>
              <w:rPr>
                <w:noProof w:val="0"/>
                <w:lang w:val="fr-CA"/>
              </w:rPr>
            </w:pPr>
          </w:p>
        </w:tc>
        <w:tc>
          <w:tcPr>
            <w:tcW w:w="3024" w:type="dxa"/>
          </w:tcPr>
          <w:tbl>
            <w:tblPr>
              <w:tblW w:w="6340" w:type="dxa"/>
              <w:tblLayout w:type="fixed"/>
              <w:tblCellMar>
                <w:left w:w="0" w:type="dxa"/>
                <w:right w:w="0" w:type="dxa"/>
              </w:tblCellMar>
              <w:tblLook w:val="04A0" w:firstRow="1" w:lastRow="0" w:firstColumn="1" w:lastColumn="0" w:noHBand="0" w:noVBand="1"/>
            </w:tblPr>
            <w:tblGrid>
              <w:gridCol w:w="2920"/>
              <w:gridCol w:w="3420"/>
            </w:tblGrid>
            <w:tr w:rsidR="00AA1783" w:rsidRPr="00201F52" w14:paraId="5BC50F61" w14:textId="77777777" w:rsidTr="00631176">
              <w:trPr>
                <w:trHeight w:val="315"/>
              </w:trPr>
              <w:tc>
                <w:tcPr>
                  <w:tcW w:w="2920" w:type="dxa"/>
                  <w:tcBorders>
                    <w:top w:val="nil"/>
                    <w:left w:val="nil"/>
                    <w:bottom w:val="nil"/>
                    <w:right w:val="nil"/>
                  </w:tcBorders>
                  <w:shd w:val="clear" w:color="auto" w:fill="auto"/>
                  <w:noWrap/>
                  <w:tcMar>
                    <w:top w:w="15" w:type="dxa"/>
                    <w:left w:w="15" w:type="dxa"/>
                    <w:bottom w:w="0" w:type="dxa"/>
                    <w:right w:w="15" w:type="dxa"/>
                  </w:tcMar>
                  <w:vAlign w:val="bottom"/>
                  <w:hideMark/>
                </w:tcPr>
                <w:p w14:paraId="7F419B00" w14:textId="3BB2DD87" w:rsidR="00AA1783" w:rsidRPr="00201F52" w:rsidRDefault="00984FD6" w:rsidP="00AA1783">
                  <w:pPr>
                    <w:rPr>
                      <w:rFonts w:ascii="Calibri" w:hAnsi="Calibri" w:cs="Calibri"/>
                      <w:color w:val="000000"/>
                    </w:rPr>
                  </w:pPr>
                  <w:proofErr w:type="spellStart"/>
                  <w:r w:rsidRPr="00984FD6">
                    <w:rPr>
                      <w:rFonts w:ascii="Calibri" w:hAnsi="Calibri" w:cs="Calibri"/>
                      <w:color w:val="000000"/>
                    </w:rPr>
                    <w:t>Utilité</w:t>
                  </w:r>
                  <w:proofErr w:type="spellEnd"/>
                  <w:r w:rsidRPr="00984FD6">
                    <w:rPr>
                      <w:rFonts w:ascii="Calibri" w:hAnsi="Calibri" w:cs="Calibri"/>
                      <w:color w:val="000000"/>
                    </w:rPr>
                    <w:t xml:space="preserve"> </w:t>
                  </w:r>
                  <w:proofErr w:type="spellStart"/>
                  <w:r w:rsidRPr="00984FD6">
                    <w:rPr>
                      <w:rFonts w:ascii="Calibri" w:hAnsi="Calibri" w:cs="Calibri"/>
                      <w:color w:val="000000"/>
                    </w:rPr>
                    <w:t>marginale</w:t>
                  </w:r>
                  <w:proofErr w:type="spellEnd"/>
                  <w:r w:rsidRPr="00984FD6">
                    <w:rPr>
                      <w:rFonts w:ascii="Calibri" w:hAnsi="Calibri" w:cs="Calibri"/>
                      <w:color w:val="000000"/>
                    </w:rPr>
                    <w:t xml:space="preserve"> </w:t>
                  </w:r>
                  <w:proofErr w:type="spellStart"/>
                  <w:r w:rsidRPr="00984FD6">
                    <w:rPr>
                      <w:rFonts w:ascii="Calibri" w:hAnsi="Calibri" w:cs="Calibri"/>
                      <w:color w:val="000000"/>
                    </w:rPr>
                    <w:t>nette</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hideMark/>
                </w:tcPr>
                <w:p w14:paraId="12E44F5B" w14:textId="77777777" w:rsidR="00AA1783" w:rsidRPr="00201F52" w:rsidRDefault="00AA1783" w:rsidP="00AA1783">
                  <w:pPr>
                    <w:rPr>
                      <w:rFonts w:ascii="Calibri" w:hAnsi="Calibri" w:cs="Calibri"/>
                      <w:color w:val="000000"/>
                    </w:rPr>
                  </w:pPr>
                  <w:r w:rsidRPr="00201F52">
                    <w:rPr>
                      <w:rFonts w:ascii="Calibri" w:hAnsi="Calibri" w:cs="Calibri"/>
                      <w:color w:val="000000"/>
                      <w:lang w:val="fr-FR"/>
                    </w:rPr>
                    <w:t xml:space="preserve">Utilité marginale nette </w:t>
                  </w:r>
                </w:p>
              </w:tc>
            </w:tr>
          </w:tbl>
          <w:p w14:paraId="1510CF7B" w14:textId="77777777" w:rsidR="00AA1783" w:rsidRPr="00680A69" w:rsidRDefault="00AA1783" w:rsidP="00AA1783">
            <w:pPr>
              <w:pStyle w:val="Table-Body"/>
              <w:rPr>
                <w:noProof w:val="0"/>
                <w:lang w:val="fr-CA"/>
              </w:rPr>
            </w:pPr>
          </w:p>
        </w:tc>
        <w:tc>
          <w:tcPr>
            <w:tcW w:w="3024" w:type="dxa"/>
          </w:tcPr>
          <w:p w14:paraId="40F45CE1" w14:textId="4E1746F5" w:rsidR="00AA1783" w:rsidRPr="00962D27" w:rsidRDefault="00962D27" w:rsidP="00AA1783">
            <w:pPr>
              <w:pStyle w:val="Table-Body"/>
              <w:rPr>
                <w:noProof w:val="0"/>
                <w:lang w:val="en-CA"/>
              </w:rPr>
            </w:pPr>
            <w:r>
              <w:rPr>
                <w:noProof w:val="0"/>
                <w:lang w:val="en-US"/>
              </w:rPr>
              <w:t xml:space="preserve">Concept that </w:t>
            </w:r>
            <w:proofErr w:type="gramStart"/>
            <w:r>
              <w:rPr>
                <w:noProof w:val="0"/>
                <w:lang w:val="en-US"/>
              </w:rPr>
              <w:t>has to</w:t>
            </w:r>
            <w:proofErr w:type="gramEnd"/>
            <w:r>
              <w:rPr>
                <w:noProof w:val="0"/>
                <w:lang w:val="en-US"/>
              </w:rPr>
              <w:t xml:space="preserve"> be checked before translation</w:t>
            </w:r>
          </w:p>
        </w:tc>
      </w:tr>
    </w:tbl>
    <w:p w14:paraId="6D7649CD" w14:textId="77777777" w:rsidR="00C32E34" w:rsidRPr="00962D27" w:rsidRDefault="00C32E34" w:rsidP="00C32E34">
      <w:pPr>
        <w:rPr>
          <w:rFonts w:cstheme="minorHAnsi"/>
          <w:b/>
          <w:bCs/>
          <w:color w:val="000000" w:themeColor="text1"/>
          <w:sz w:val="24"/>
          <w:szCs w:val="24"/>
          <w:u w:val="single"/>
          <w:lang w:val="en-CA"/>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48B20A3A" w:rsidR="00C32E34" w:rsidRPr="002169F4" w:rsidRDefault="00D66731" w:rsidP="009657B8">
            <w:pPr>
              <w:pStyle w:val="Table-Body"/>
              <w:rPr>
                <w:noProof w:val="0"/>
                <w:lang w:val="en-US"/>
              </w:rPr>
            </w:pPr>
            <w:r w:rsidRPr="00D66731">
              <w:rPr>
                <w:noProof w:val="0"/>
                <w:lang w:val="en-US"/>
              </w:rPr>
              <w:t>https://www.linguee.com/</w:t>
            </w:r>
          </w:p>
        </w:tc>
        <w:tc>
          <w:tcPr>
            <w:tcW w:w="4547" w:type="dxa"/>
          </w:tcPr>
          <w:p w14:paraId="7C07549B" w14:textId="69ED8966" w:rsidR="00C32E34" w:rsidRPr="002169F4" w:rsidRDefault="003804BF" w:rsidP="009657B8">
            <w:pPr>
              <w:pStyle w:val="Table-Body"/>
              <w:rPr>
                <w:noProof w:val="0"/>
                <w:lang w:val="en-US"/>
              </w:rPr>
            </w:pPr>
            <w:r>
              <w:rPr>
                <w:noProof w:val="0"/>
                <w:lang w:val="en-US"/>
              </w:rPr>
              <w:t>General</w:t>
            </w:r>
          </w:p>
        </w:tc>
      </w:tr>
      <w:tr w:rsidR="00C32E34" w:rsidRPr="002169F4" w14:paraId="279DF6CA" w14:textId="77777777" w:rsidTr="009657B8">
        <w:trPr>
          <w:cantSplit/>
          <w:jc w:val="center"/>
        </w:trPr>
        <w:tc>
          <w:tcPr>
            <w:tcW w:w="4525" w:type="dxa"/>
          </w:tcPr>
          <w:p w14:paraId="4B29A1B0" w14:textId="3265768D" w:rsidR="00C32E34" w:rsidRPr="002169F4" w:rsidRDefault="003804BF" w:rsidP="009657B8">
            <w:pPr>
              <w:pStyle w:val="Table-Body"/>
              <w:rPr>
                <w:noProof w:val="0"/>
                <w:lang w:val="en-US"/>
              </w:rPr>
            </w:pPr>
            <w:r w:rsidRPr="003804BF">
              <w:rPr>
                <w:noProof w:val="0"/>
                <w:lang w:val="en-US"/>
              </w:rPr>
              <w:t>https://dictionary.cambridge.org/</w:t>
            </w:r>
          </w:p>
        </w:tc>
        <w:tc>
          <w:tcPr>
            <w:tcW w:w="4547" w:type="dxa"/>
          </w:tcPr>
          <w:p w14:paraId="172CAAB7" w14:textId="6AEFBEE9" w:rsidR="00C32E34" w:rsidRPr="002169F4" w:rsidRDefault="003804BF" w:rsidP="009657B8">
            <w:pPr>
              <w:pStyle w:val="Table-Body"/>
              <w:rPr>
                <w:noProof w:val="0"/>
                <w:lang w:val="en-US"/>
              </w:rPr>
            </w:pPr>
            <w:r>
              <w:rPr>
                <w:noProof w:val="0"/>
                <w:lang w:val="en-US"/>
              </w:rPr>
              <w:t>General</w:t>
            </w:r>
          </w:p>
        </w:tc>
      </w:tr>
      <w:tr w:rsidR="00C32E34" w:rsidRPr="002169F4" w14:paraId="429825D4" w14:textId="77777777" w:rsidTr="009657B8">
        <w:trPr>
          <w:cantSplit/>
          <w:jc w:val="center"/>
        </w:trPr>
        <w:tc>
          <w:tcPr>
            <w:tcW w:w="4525" w:type="dxa"/>
          </w:tcPr>
          <w:p w14:paraId="721161B8" w14:textId="0BCF9C78" w:rsidR="00C32E34" w:rsidRPr="003F64AE" w:rsidRDefault="003F64AE" w:rsidP="009657B8">
            <w:pPr>
              <w:pStyle w:val="Table-Body"/>
              <w:rPr>
                <w:noProof w:val="0"/>
                <w:lang w:val="es-AR"/>
              </w:rPr>
            </w:pPr>
            <w:r w:rsidRPr="003F64AE">
              <w:rPr>
                <w:noProof w:val="0"/>
                <w:lang w:val="es-AR"/>
              </w:rPr>
              <w:t>https://www.investopedia.com/financial-term-dictionary-4769738</w:t>
            </w:r>
          </w:p>
        </w:tc>
        <w:tc>
          <w:tcPr>
            <w:tcW w:w="4547" w:type="dxa"/>
          </w:tcPr>
          <w:p w14:paraId="1FDED4D8" w14:textId="520B7AE3" w:rsidR="00C32E34" w:rsidRPr="003F64AE" w:rsidRDefault="003F64AE" w:rsidP="009657B8">
            <w:pPr>
              <w:pStyle w:val="Table-Body"/>
              <w:rPr>
                <w:noProof w:val="0"/>
                <w:lang w:val="es-AR"/>
              </w:rPr>
            </w:pPr>
            <w:proofErr w:type="spellStart"/>
            <w:r>
              <w:rPr>
                <w:noProof w:val="0"/>
                <w:lang w:val="es-AR"/>
              </w:rPr>
              <w:t>Specific</w:t>
            </w:r>
            <w:proofErr w:type="spellEnd"/>
            <w:r w:rsidR="000070A6">
              <w:rPr>
                <w:noProof w:val="0"/>
                <w:lang w:val="es-AR"/>
              </w:rPr>
              <w:t xml:space="preserve"> (</w:t>
            </w:r>
            <w:proofErr w:type="spellStart"/>
            <w:r w:rsidR="000070A6">
              <w:rPr>
                <w:noProof w:val="0"/>
                <w:lang w:val="es-AR"/>
              </w:rPr>
              <w:t>economic</w:t>
            </w:r>
            <w:proofErr w:type="spellEnd"/>
            <w:r w:rsidR="000070A6">
              <w:rPr>
                <w:noProof w:val="0"/>
                <w:lang w:val="es-AR"/>
              </w:rPr>
              <w:t xml:space="preserve"> and</w:t>
            </w:r>
            <w:r w:rsidR="00290A24">
              <w:rPr>
                <w:noProof w:val="0"/>
                <w:lang w:val="es-AR"/>
              </w:rPr>
              <w:t>/</w:t>
            </w:r>
            <w:proofErr w:type="spellStart"/>
            <w:r w:rsidR="000070A6">
              <w:rPr>
                <w:noProof w:val="0"/>
                <w:lang w:val="es-AR"/>
              </w:rPr>
              <w:t>or</w:t>
            </w:r>
            <w:proofErr w:type="spellEnd"/>
            <w:r w:rsidR="000070A6">
              <w:rPr>
                <w:noProof w:val="0"/>
                <w:lang w:val="es-AR"/>
              </w:rPr>
              <w:t xml:space="preserve"> </w:t>
            </w:r>
            <w:proofErr w:type="spellStart"/>
            <w:r w:rsidR="000070A6">
              <w:rPr>
                <w:noProof w:val="0"/>
                <w:lang w:val="es-AR"/>
              </w:rPr>
              <w:t>financial</w:t>
            </w:r>
            <w:proofErr w:type="spellEnd"/>
            <w:r w:rsidR="000070A6">
              <w:rPr>
                <w:noProof w:val="0"/>
                <w:lang w:val="es-AR"/>
              </w:rPr>
              <w:t xml:space="preserve"> </w:t>
            </w:r>
            <w:proofErr w:type="spellStart"/>
            <w:r w:rsidR="00290A24">
              <w:rPr>
                <w:noProof w:val="0"/>
                <w:lang w:val="es-AR"/>
              </w:rPr>
              <w:t>terms</w:t>
            </w:r>
            <w:proofErr w:type="spellEnd"/>
            <w:r w:rsidR="00290A24">
              <w:rPr>
                <w:noProof w:val="0"/>
                <w:lang w:val="es-AR"/>
              </w:rPr>
              <w:t>)</w:t>
            </w:r>
          </w:p>
        </w:tc>
      </w:tr>
    </w:tbl>
    <w:p w14:paraId="61F01B2B" w14:textId="77777777" w:rsidR="00C32E34" w:rsidRPr="003F64AE" w:rsidRDefault="00C32E34" w:rsidP="00C32E34"/>
    <w:bookmarkEnd w:id="0"/>
    <w:p w14:paraId="24DBB44E" w14:textId="7B2072F8" w:rsidR="00E23080" w:rsidRDefault="00222AEE" w:rsidP="00C32E34">
      <w:proofErr w:type="spellStart"/>
      <w:r>
        <w:t>Thanks</w:t>
      </w:r>
      <w:proofErr w:type="spellEnd"/>
      <w:r>
        <w:t>!</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20A7C3" w14:textId="77777777" w:rsidR="00EB2B02" w:rsidRDefault="00EB2B02">
      <w:pPr>
        <w:spacing w:after="0" w:line="240" w:lineRule="auto"/>
      </w:pPr>
      <w:r>
        <w:separator/>
      </w:r>
    </w:p>
  </w:endnote>
  <w:endnote w:type="continuationSeparator" w:id="0">
    <w:p w14:paraId="1F96BE91" w14:textId="77777777" w:rsidR="00EB2B02" w:rsidRDefault="00EB2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Footer"/>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9778F2" w14:textId="77777777" w:rsidR="00EB2B02" w:rsidRDefault="00EB2B02">
      <w:pPr>
        <w:spacing w:after="0" w:line="240" w:lineRule="auto"/>
      </w:pPr>
      <w:r>
        <w:separator/>
      </w:r>
    </w:p>
  </w:footnote>
  <w:footnote w:type="continuationSeparator" w:id="0">
    <w:p w14:paraId="7BEC574C" w14:textId="77777777" w:rsidR="00EB2B02" w:rsidRDefault="00EB2B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7D4C8" w14:textId="7C636906" w:rsidR="00982732" w:rsidRDefault="00982732" w:rsidP="00982732">
    <w:pPr>
      <w:pStyle w:val="Header"/>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F91081" w:rsidP="00742B7C">
    <w:pPr>
      <w:pStyle w:val="Header"/>
      <w:jc w:val="right"/>
    </w:pPr>
  </w:p>
  <w:p w14:paraId="2A0A3661" w14:textId="64D4EC65" w:rsidR="00982732" w:rsidRDefault="00982732" w:rsidP="00742B7C">
    <w:pPr>
      <w:pStyle w:val="Header"/>
      <w:jc w:val="right"/>
    </w:pPr>
  </w:p>
  <w:p w14:paraId="577DD1A1" w14:textId="77777777" w:rsidR="00982732" w:rsidRDefault="00982732" w:rsidP="00742B7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Heading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Heading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Heading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Heading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Heading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Heading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Heading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Heading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Heading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070A6"/>
    <w:rsid w:val="00010F48"/>
    <w:rsid w:val="00027599"/>
    <w:rsid w:val="001006E3"/>
    <w:rsid w:val="0014327A"/>
    <w:rsid w:val="001D5956"/>
    <w:rsid w:val="00222AEE"/>
    <w:rsid w:val="00290A24"/>
    <w:rsid w:val="0029735B"/>
    <w:rsid w:val="002B1985"/>
    <w:rsid w:val="002B46B3"/>
    <w:rsid w:val="003804BF"/>
    <w:rsid w:val="003B7CE7"/>
    <w:rsid w:val="003F64AE"/>
    <w:rsid w:val="004335AE"/>
    <w:rsid w:val="00472318"/>
    <w:rsid w:val="004F5476"/>
    <w:rsid w:val="00502332"/>
    <w:rsid w:val="0054123D"/>
    <w:rsid w:val="005725F5"/>
    <w:rsid w:val="00680A69"/>
    <w:rsid w:val="00691B2B"/>
    <w:rsid w:val="00693974"/>
    <w:rsid w:val="006B63B5"/>
    <w:rsid w:val="00717925"/>
    <w:rsid w:val="00720C57"/>
    <w:rsid w:val="00730246"/>
    <w:rsid w:val="007A6EA7"/>
    <w:rsid w:val="007F13BF"/>
    <w:rsid w:val="00807CAD"/>
    <w:rsid w:val="00814892"/>
    <w:rsid w:val="00817C43"/>
    <w:rsid w:val="0082294E"/>
    <w:rsid w:val="00822EB9"/>
    <w:rsid w:val="0083356E"/>
    <w:rsid w:val="00947BA5"/>
    <w:rsid w:val="00962D27"/>
    <w:rsid w:val="00970A9B"/>
    <w:rsid w:val="00982732"/>
    <w:rsid w:val="00984FD6"/>
    <w:rsid w:val="00992EE4"/>
    <w:rsid w:val="00A6385E"/>
    <w:rsid w:val="00A64FA3"/>
    <w:rsid w:val="00A9682A"/>
    <w:rsid w:val="00AA1783"/>
    <w:rsid w:val="00B92973"/>
    <w:rsid w:val="00BA1735"/>
    <w:rsid w:val="00BA77C8"/>
    <w:rsid w:val="00C00610"/>
    <w:rsid w:val="00C32E34"/>
    <w:rsid w:val="00C43D38"/>
    <w:rsid w:val="00C964A6"/>
    <w:rsid w:val="00CE7801"/>
    <w:rsid w:val="00D66731"/>
    <w:rsid w:val="00E23080"/>
    <w:rsid w:val="00E51C54"/>
    <w:rsid w:val="00E758DD"/>
    <w:rsid w:val="00EA56CB"/>
    <w:rsid w:val="00EA5C75"/>
    <w:rsid w:val="00EB2B02"/>
    <w:rsid w:val="00F656A2"/>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Heading1">
    <w:name w:val="heading 1"/>
    <w:next w:val="Paragraph"/>
    <w:link w:val="Heading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Heading2">
    <w:name w:val="heading 2"/>
    <w:next w:val="Paragraph"/>
    <w:link w:val="Heading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Heading3">
    <w:name w:val="heading 3"/>
    <w:next w:val="Paragraph"/>
    <w:link w:val="Heading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Heading4">
    <w:name w:val="heading 4"/>
    <w:next w:val="Paragraph"/>
    <w:link w:val="Heading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Heading5">
    <w:name w:val="heading 5"/>
    <w:next w:val="Paragraph"/>
    <w:link w:val="Heading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Heading6">
    <w:name w:val="heading 6"/>
    <w:next w:val="Paragraph"/>
    <w:link w:val="Heading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Heading7">
    <w:name w:val="heading 7"/>
    <w:next w:val="Paragraph"/>
    <w:link w:val="Heading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Heading8">
    <w:name w:val="heading 8"/>
    <w:next w:val="Paragraph"/>
    <w:link w:val="Heading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Heading9">
    <w:name w:val="heading 9"/>
    <w:next w:val="Paragraph"/>
    <w:link w:val="Heading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PlaceholderText">
    <w:name w:val="Placeholder Text"/>
    <w:basedOn w:val="DefaultParagraphFon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Header">
    <w:name w:val="header"/>
    <w:basedOn w:val="Normal"/>
    <w:link w:val="HeaderChar"/>
    <w:uiPriority w:val="99"/>
    <w:unhideWhenUsed/>
    <w:rsid w:val="00BA77C8"/>
    <w:pPr>
      <w:tabs>
        <w:tab w:val="center" w:pos="4252"/>
        <w:tab w:val="right" w:pos="8504"/>
      </w:tabs>
      <w:spacing w:after="0" w:line="240" w:lineRule="auto"/>
    </w:pPr>
  </w:style>
  <w:style w:type="character" w:customStyle="1" w:styleId="HeaderChar">
    <w:name w:val="Header Char"/>
    <w:basedOn w:val="DefaultParagraphFont"/>
    <w:link w:val="Header"/>
    <w:uiPriority w:val="99"/>
    <w:rsid w:val="00BA77C8"/>
  </w:style>
  <w:style w:type="paragraph" w:styleId="Footer">
    <w:name w:val="footer"/>
    <w:basedOn w:val="Normal"/>
    <w:link w:val="FooterChar"/>
    <w:uiPriority w:val="99"/>
    <w:unhideWhenUsed/>
    <w:rsid w:val="00BA77C8"/>
    <w:pPr>
      <w:tabs>
        <w:tab w:val="center" w:pos="4252"/>
        <w:tab w:val="right" w:pos="8504"/>
      </w:tabs>
      <w:spacing w:after="0" w:line="240" w:lineRule="auto"/>
    </w:pPr>
  </w:style>
  <w:style w:type="character" w:customStyle="1" w:styleId="FooterChar">
    <w:name w:val="Footer Char"/>
    <w:basedOn w:val="DefaultParagraphFont"/>
    <w:link w:val="Footer"/>
    <w:uiPriority w:val="99"/>
    <w:rsid w:val="00BA77C8"/>
  </w:style>
  <w:style w:type="character" w:customStyle="1" w:styleId="Heading1Char">
    <w:name w:val="Heading 1 Char"/>
    <w:basedOn w:val="DefaultParagraphFont"/>
    <w:link w:val="Heading1"/>
    <w:rsid w:val="00BA77C8"/>
    <w:rPr>
      <w:rFonts w:ascii="Times New Roman" w:eastAsia="SimSun" w:hAnsi="Times New Roman" w:cs="Arial"/>
      <w:b/>
      <w:bCs/>
      <w:caps/>
      <w:sz w:val="24"/>
      <w:szCs w:val="28"/>
      <w:lang w:val="en-US"/>
    </w:rPr>
  </w:style>
  <w:style w:type="character" w:customStyle="1" w:styleId="Heading2Char">
    <w:name w:val="Heading 2 Char"/>
    <w:basedOn w:val="DefaultParagraphFont"/>
    <w:link w:val="Heading2"/>
    <w:rsid w:val="00BA77C8"/>
    <w:rPr>
      <w:rFonts w:ascii="Times New Roman" w:eastAsia="SimSun" w:hAnsi="Times New Roman" w:cs="Arial"/>
      <w:b/>
      <w:bCs/>
      <w:sz w:val="24"/>
      <w:szCs w:val="26"/>
      <w:lang w:val="en-US"/>
    </w:rPr>
  </w:style>
  <w:style w:type="character" w:customStyle="1" w:styleId="Heading3Char">
    <w:name w:val="Heading 3 Char"/>
    <w:basedOn w:val="DefaultParagraphFont"/>
    <w:link w:val="Heading3"/>
    <w:rsid w:val="00BA77C8"/>
    <w:rPr>
      <w:rFonts w:ascii="Times New Roman" w:eastAsia="SimSun" w:hAnsi="Times New Roman" w:cs="Arial"/>
      <w:b/>
      <w:sz w:val="24"/>
      <w:szCs w:val="26"/>
      <w:lang w:val="en-US"/>
    </w:rPr>
  </w:style>
  <w:style w:type="character" w:customStyle="1" w:styleId="Heading4Char">
    <w:name w:val="Heading 4 Char"/>
    <w:basedOn w:val="DefaultParagraphFont"/>
    <w:link w:val="Heading4"/>
    <w:rsid w:val="00BA77C8"/>
    <w:rPr>
      <w:rFonts w:ascii="Times New Roman" w:eastAsia="SimSun" w:hAnsi="Times New Roman" w:cs="Arial"/>
      <w:b/>
      <w:bCs/>
      <w:sz w:val="24"/>
      <w:szCs w:val="24"/>
      <w:lang w:val="en-US"/>
    </w:rPr>
  </w:style>
  <w:style w:type="character" w:customStyle="1" w:styleId="Heading5Char">
    <w:name w:val="Heading 5 Char"/>
    <w:basedOn w:val="DefaultParagraphFont"/>
    <w:link w:val="Heading5"/>
    <w:rsid w:val="00BA77C8"/>
    <w:rPr>
      <w:rFonts w:ascii="Times New Roman" w:eastAsia="Times New Roman" w:hAnsi="Times New Roman" w:cs="Arial"/>
      <w:b/>
      <w:iCs/>
      <w:sz w:val="24"/>
      <w:szCs w:val="24"/>
      <w:lang w:val="en-US"/>
    </w:rPr>
  </w:style>
  <w:style w:type="character" w:customStyle="1" w:styleId="Heading6Char">
    <w:name w:val="Heading 6 Char"/>
    <w:basedOn w:val="DefaultParagraphFont"/>
    <w:link w:val="Heading6"/>
    <w:rsid w:val="00BA77C8"/>
    <w:rPr>
      <w:rFonts w:ascii="Times New Roman" w:eastAsia="Times New Roman" w:hAnsi="Times New Roman" w:cs="Arial"/>
      <w:b/>
      <w:iCs/>
      <w:sz w:val="24"/>
      <w:szCs w:val="24"/>
      <w:lang w:val="en-US"/>
    </w:rPr>
  </w:style>
  <w:style w:type="character" w:customStyle="1" w:styleId="Heading7Char">
    <w:name w:val="Heading 7 Char"/>
    <w:basedOn w:val="DefaultParagraphFont"/>
    <w:link w:val="Heading7"/>
    <w:rsid w:val="00BA77C8"/>
    <w:rPr>
      <w:rFonts w:ascii="Times New Roman" w:eastAsia="Times New Roman" w:hAnsi="Times New Roman" w:cs="Arial"/>
      <w:b/>
      <w:iCs/>
      <w:sz w:val="24"/>
      <w:szCs w:val="24"/>
      <w:lang w:val="en-US"/>
    </w:rPr>
  </w:style>
  <w:style w:type="character" w:customStyle="1" w:styleId="Heading8Char">
    <w:name w:val="Heading 8 Char"/>
    <w:basedOn w:val="DefaultParagraphFont"/>
    <w:link w:val="Heading8"/>
    <w:rsid w:val="00BA77C8"/>
    <w:rPr>
      <w:rFonts w:ascii="Times New Roman" w:eastAsia="Times New Roman" w:hAnsi="Times New Roman" w:cs="Arial"/>
      <w:b/>
      <w:iCs/>
      <w:sz w:val="24"/>
      <w:szCs w:val="24"/>
      <w:lang w:val="en-US"/>
    </w:rPr>
  </w:style>
  <w:style w:type="character" w:customStyle="1" w:styleId="Heading9Char">
    <w:name w:val="Heading 9 Char"/>
    <w:basedOn w:val="DefaultParagraphFont"/>
    <w:link w:val="Heading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eGrid">
    <w:name w:val="Table Grid"/>
    <w:basedOn w:val="Table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69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1456</Words>
  <Characters>8303</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Moez Sghaier</cp:lastModifiedBy>
  <cp:revision>2</cp:revision>
  <cp:lastPrinted>2020-12-28T17:32:00Z</cp:lastPrinted>
  <dcterms:created xsi:type="dcterms:W3CDTF">2020-12-29T18:05:00Z</dcterms:created>
  <dcterms:modified xsi:type="dcterms:W3CDTF">2020-12-29T18:05:00Z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